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94" w:lineRule="exact"/>
        <w:ind w:firstLine="0" w:firstLineChars="0"/>
        <w:jc w:val="both"/>
        <w:textAlignment w:val="auto"/>
        <w:rPr>
          <w:rFonts w:hint="eastAsia" w:ascii="仿宋_GB2312" w:hAnsi="仿宋_GB2312" w:eastAsia="仿宋_GB2312" w:cs="仿宋_GB2312"/>
          <w:b w:val="0"/>
          <w:bCs w:val="0"/>
          <w:color w:val="000000" w:themeColor="text1"/>
          <w:sz w:val="32"/>
          <w:szCs w:val="32"/>
          <w:u w:val="single"/>
          <w:shd w:val="clear" w:color="auto" w:fill="FFFFFF"/>
          <w14:textFill>
            <w14:solidFill>
              <w14:schemeClr w14:val="tx1"/>
            </w14:solidFill>
          </w14:textFill>
        </w:rPr>
      </w:pP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94" w:lineRule="exact"/>
        <w:ind w:firstLine="0" w:firstLineChars="0"/>
        <w:jc w:val="center"/>
        <w:textAlignment w:val="auto"/>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color w:val="000000" w:themeColor="text1"/>
          <w:sz w:val="44"/>
          <w:szCs w:val="44"/>
          <w:shd w:val="clear" w:color="auto" w:fill="FFFFFF"/>
          <w:lang w:val="en-US" w:eastAsia="zh-CN"/>
          <w14:textFill>
            <w14:solidFill>
              <w14:schemeClr w14:val="tx1"/>
            </w14:solidFill>
          </w14:textFill>
        </w:rPr>
        <w:t>德阳市精神卫生中心2024年</w:t>
      </w:r>
      <w:r>
        <w:rPr>
          <w:rFonts w:hint="eastAsia" w:ascii="方正小标宋_GBK" w:hAnsi="方正小标宋_GBK" w:eastAsia="方正小标宋_GBK" w:cs="方正小标宋_GBK"/>
          <w:b w:val="0"/>
          <w:bCs w:val="0"/>
          <w:color w:val="auto"/>
          <w:kern w:val="0"/>
          <w:sz w:val="44"/>
          <w:szCs w:val="44"/>
          <w:shd w:val="clear" w:color="auto" w:fill="FFFFFF"/>
          <w:lang w:val="en-US" w:eastAsia="zh-CN" w:bidi="ar-SA"/>
        </w:rPr>
        <w:t>传染病智能监测预警前置软件服务器软硬件环境</w:t>
      </w:r>
      <w:r>
        <w:rPr>
          <w:rFonts w:hint="eastAsia" w:ascii="方正小标宋_GBK" w:hAnsi="方正小标宋_GBK" w:eastAsia="方正小标宋_GBK" w:cs="方正小标宋_GBK"/>
          <w:color w:val="000000" w:themeColor="text1"/>
          <w:sz w:val="44"/>
          <w:szCs w:val="44"/>
          <w:shd w:val="clear" w:color="auto" w:fill="FFFFFF"/>
          <w:lang w:val="en-US" w:eastAsia="zh-CN"/>
          <w14:textFill>
            <w14:solidFill>
              <w14:schemeClr w14:val="tx1"/>
            </w14:solidFill>
          </w14:textFill>
        </w:rPr>
        <w:t>采购项目</w:t>
      </w:r>
      <w:r>
        <w:rPr>
          <w:rFonts w:hint="eastAsia"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t>市场调研内容大纲</w:t>
      </w:r>
    </w:p>
    <w:p>
      <w:pPr>
        <w:pStyle w:val="2"/>
        <w:keepNext w:val="0"/>
        <w:keepLines w:val="0"/>
        <w:pageBreakBefore w:val="0"/>
        <w:shd w:val="clear" w:color="auto" w:fill="FFFFFF"/>
        <w:kinsoku/>
        <w:overflowPunct/>
        <w:topLinePunct w:val="0"/>
        <w:autoSpaceDE/>
        <w:autoSpaceDN/>
        <w:bidi w:val="0"/>
        <w:adjustRightInd/>
        <w:snapToGrid/>
        <w:spacing w:before="0" w:beforeAutospacing="0" w:after="0" w:afterAutospacing="0" w:line="594" w:lineRule="exact"/>
        <w:ind w:firstLine="0" w:firstLineChars="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2"/>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参与我院中心市场调研的生产厂商需按序提供如下相关信息：</w:t>
      </w:r>
    </w:p>
    <w:p>
      <w:pPr>
        <w:pStyle w:val="2"/>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一、厂商家简要概况。</w:t>
      </w:r>
    </w:p>
    <w:p>
      <w:pPr>
        <w:pStyle w:val="2"/>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二、满足国家相关文件要求的传染病智能监测预警前置软件服务器软硬件环境相关产品介绍。</w:t>
      </w:r>
    </w:p>
    <w:p>
      <w:pPr>
        <w:pStyle w:val="2"/>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三、详细费用方案。</w:t>
      </w:r>
    </w:p>
    <w:p>
      <w:pPr>
        <w:pStyle w:val="2"/>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以上调研参与文件1份，于2024年5月9日17:30前交至德阳市精神卫生中心公卫科。</w:t>
      </w:r>
    </w:p>
    <w:p>
      <w:pPr>
        <w:pStyle w:val="2"/>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color w:val="auto"/>
          <w:sz w:val="32"/>
          <w:szCs w:val="32"/>
          <w:shd w:val="clear" w:color="auto" w:fill="FFFFFF"/>
          <w:lang w:val="en-US" w:eastAsia="zh-CN"/>
        </w:rPr>
        <w:t>项目“集中研判会议”时间另行通知。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iMzQyY2FhYzY4MTUzYTU3MGVhMmJiNWE3MmY2ODAifQ=="/>
  </w:docVars>
  <w:rsids>
    <w:rsidRoot w:val="3DAC400F"/>
    <w:rsid w:val="3DAC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2024-04-30T08:29:00Z</dcterms:created>
  <dc:creator>周俊</dc:creator>
  <cp:lastModifiedBy>周俊</cp:lastModifiedBy>
  <dcterms:modified xsi:type="dcterms:W3CDTF">2024-04-30T08:30:23Z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498F205F8B4A44C4ACF72738C992BB63_11</vt:lpwstr>
  </property>
</Properties>
</file>