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line="480" w:lineRule="auto"/>
        <w:jc w:val="center"/>
        <w:rPr>
          <w:rFonts w:ascii="宋体" w:hAnsi="宋体" w:eastAsia="宋体" w:cs="宋体"/>
          <w:sz w:val="36"/>
          <w:szCs w:val="36"/>
          <w:highlight w:val="none"/>
        </w:rPr>
      </w:pPr>
      <w:r>
        <w:rPr>
          <w:rFonts w:hint="eastAsia" w:ascii="宋体" w:hAnsi="宋体" w:eastAsia="宋体" w:cs="宋体"/>
          <w:sz w:val="32"/>
          <w:szCs w:val="32"/>
          <w:highlight w:val="none"/>
        </w:rPr>
        <w:t>采购编号：</w:t>
      </w:r>
      <w:r>
        <w:rPr>
          <w:rFonts w:ascii="宋体" w:hAnsi="宋体" w:eastAsia="宋体" w:cs="宋体"/>
          <w:sz w:val="32"/>
          <w:szCs w:val="32"/>
          <w:highlight w:val="none"/>
        </w:rPr>
        <w:t>DSJW(202</w:t>
      </w:r>
      <w:r>
        <w:rPr>
          <w:rFonts w:hint="eastAsia" w:ascii="宋体" w:hAnsi="宋体" w:eastAsia="宋体" w:cs="宋体"/>
          <w:sz w:val="32"/>
          <w:szCs w:val="32"/>
          <w:highlight w:val="none"/>
          <w:lang w:val="en-US" w:eastAsia="zh-CN"/>
        </w:rPr>
        <w:t>5</w:t>
      </w:r>
      <w:r>
        <w:rPr>
          <w:rFonts w:ascii="宋体" w:hAnsi="宋体" w:eastAsia="宋体" w:cs="宋体"/>
          <w:sz w:val="32"/>
          <w:szCs w:val="32"/>
          <w:highlight w:val="none"/>
        </w:rPr>
        <w:t>)</w:t>
      </w:r>
      <w:r>
        <w:rPr>
          <w:rFonts w:hint="eastAsia" w:ascii="宋体" w:hAnsi="宋体" w:eastAsia="宋体" w:cs="宋体"/>
          <w:sz w:val="32"/>
          <w:szCs w:val="32"/>
          <w:highlight w:val="none"/>
          <w:lang w:val="en-US" w:eastAsia="zh-CN"/>
        </w:rPr>
        <w:t>030</w:t>
      </w:r>
      <w:r>
        <w:rPr>
          <w:rFonts w:ascii="宋体" w:hAnsi="宋体" w:eastAsia="宋体" w:cs="宋体"/>
          <w:sz w:val="32"/>
          <w:szCs w:val="32"/>
          <w:highlight w:val="none"/>
        </w:rPr>
        <w:t>号</w:t>
      </w:r>
    </w:p>
    <w:p>
      <w:pPr>
        <w:keepNext w:val="0"/>
        <w:keepLines w:val="0"/>
        <w:pageBreakBefore w:val="0"/>
        <w:widowControl w:val="0"/>
        <w:kinsoku/>
        <w:wordWrap/>
        <w:overflowPunct/>
        <w:topLinePunct w:val="0"/>
        <w:bidi w:val="0"/>
        <w:spacing w:line="480" w:lineRule="auto"/>
        <w:jc w:val="center"/>
        <w:rPr>
          <w:rFonts w:ascii="宋体" w:hAnsi="宋体" w:eastAsia="宋体" w:cs="宋体"/>
          <w:sz w:val="52"/>
          <w:szCs w:val="52"/>
          <w:highlight w:val="none"/>
        </w:rPr>
      </w:pPr>
    </w:p>
    <w:p>
      <w:pPr>
        <w:keepNext w:val="0"/>
        <w:keepLines w:val="0"/>
        <w:pageBreakBefore w:val="0"/>
        <w:widowControl w:val="0"/>
        <w:kinsoku/>
        <w:wordWrap/>
        <w:overflowPunct/>
        <w:topLinePunct w:val="0"/>
        <w:bidi w:val="0"/>
        <w:spacing w:line="594" w:lineRule="exact"/>
        <w:jc w:val="center"/>
        <w:rPr>
          <w:rFonts w:ascii="宋体" w:hAnsi="宋体" w:eastAsia="宋体" w:cs="宋体"/>
          <w:sz w:val="52"/>
          <w:szCs w:val="52"/>
          <w:highlight w:val="none"/>
        </w:rPr>
      </w:pPr>
      <w:r>
        <w:rPr>
          <w:rFonts w:hint="eastAsia" w:ascii="宋体" w:hAnsi="宋体" w:eastAsia="宋体" w:cs="宋体"/>
          <w:sz w:val="52"/>
          <w:szCs w:val="52"/>
          <w:highlight w:val="none"/>
        </w:rPr>
        <w:t>德阳市精神卫生中心</w:t>
      </w:r>
    </w:p>
    <w:p>
      <w:pPr>
        <w:keepNext w:val="0"/>
        <w:keepLines w:val="0"/>
        <w:pageBreakBefore w:val="0"/>
        <w:widowControl w:val="0"/>
        <w:kinsoku/>
        <w:wordWrap/>
        <w:overflowPunct/>
        <w:topLinePunct w:val="0"/>
        <w:bidi w:val="0"/>
        <w:spacing w:line="594" w:lineRule="exact"/>
        <w:jc w:val="center"/>
        <w:rPr>
          <w:rFonts w:hint="eastAsia" w:ascii="宋体" w:hAnsi="宋体" w:eastAsia="宋体" w:cs="宋体"/>
          <w:sz w:val="52"/>
          <w:szCs w:val="52"/>
          <w:highlight w:val="none"/>
          <w:lang w:eastAsia="zh-CN"/>
        </w:rPr>
      </w:pPr>
      <w:r>
        <w:rPr>
          <w:rFonts w:hint="eastAsia" w:ascii="宋体" w:hAnsi="宋体" w:eastAsia="宋体" w:cs="宋体"/>
          <w:sz w:val="52"/>
          <w:szCs w:val="52"/>
          <w:highlight w:val="none"/>
          <w:lang w:val="en-US" w:eastAsia="zh-CN"/>
        </w:rPr>
        <w:t>2025年网络安全服务采购项目</w:t>
      </w:r>
    </w:p>
    <w:p>
      <w:pPr>
        <w:keepNext w:val="0"/>
        <w:keepLines w:val="0"/>
        <w:pageBreakBefore w:val="0"/>
        <w:widowControl w:val="0"/>
        <w:kinsoku/>
        <w:wordWrap/>
        <w:overflowPunct/>
        <w:topLinePunct w:val="0"/>
        <w:bidi w:val="0"/>
        <w:spacing w:line="480" w:lineRule="auto"/>
        <w:jc w:val="center"/>
        <w:rPr>
          <w:rFonts w:ascii="宋体" w:hAnsi="宋体" w:eastAsia="宋体" w:cs="宋体"/>
          <w:sz w:val="44"/>
          <w:szCs w:val="44"/>
          <w:highlight w:val="none"/>
        </w:rPr>
      </w:pPr>
    </w:p>
    <w:p>
      <w:pPr>
        <w:keepNext w:val="0"/>
        <w:keepLines w:val="0"/>
        <w:pageBreakBefore w:val="0"/>
        <w:widowControl w:val="0"/>
        <w:kinsoku/>
        <w:wordWrap/>
        <w:overflowPunct/>
        <w:topLinePunct w:val="0"/>
        <w:bidi w:val="0"/>
        <w:spacing w:line="594" w:lineRule="exact"/>
        <w:rPr>
          <w:rFonts w:ascii="宋体" w:hAnsi="宋体" w:eastAsia="宋体" w:cs="宋体"/>
          <w:sz w:val="44"/>
          <w:szCs w:val="44"/>
          <w:highlight w:val="none"/>
        </w:rPr>
      </w:pPr>
      <w:r>
        <w:rPr>
          <w:rFonts w:hint="eastAsia" w:ascii="宋体" w:hAnsi="宋体" w:eastAsia="宋体" w:cs="宋体"/>
          <w:sz w:val="44"/>
          <w:szCs w:val="44"/>
          <w:highlight w:val="none"/>
        </w:rPr>
        <w:t xml:space="preserve">                   </w:t>
      </w:r>
    </w:p>
    <w:p>
      <w:pPr>
        <w:keepNext w:val="0"/>
        <w:keepLines w:val="0"/>
        <w:pageBreakBefore w:val="0"/>
        <w:widowControl w:val="0"/>
        <w:kinsoku/>
        <w:wordWrap/>
        <w:overflowPunct/>
        <w:topLinePunct w:val="0"/>
        <w:bidi w:val="0"/>
        <w:spacing w:line="594" w:lineRule="exact"/>
        <w:jc w:val="center"/>
        <w:rPr>
          <w:rFonts w:ascii="宋体" w:hAnsi="宋体" w:eastAsia="宋体" w:cs="宋体"/>
          <w:sz w:val="44"/>
          <w:szCs w:val="44"/>
          <w:highlight w:val="none"/>
        </w:rPr>
      </w:pPr>
    </w:p>
    <w:p>
      <w:pPr>
        <w:keepNext w:val="0"/>
        <w:keepLines w:val="0"/>
        <w:pageBreakBefore w:val="0"/>
        <w:widowControl w:val="0"/>
        <w:kinsoku/>
        <w:wordWrap/>
        <w:overflowPunct/>
        <w:topLinePunct w:val="0"/>
        <w:bidi w:val="0"/>
        <w:spacing w:line="594" w:lineRule="exact"/>
        <w:jc w:val="center"/>
        <w:rPr>
          <w:rFonts w:ascii="宋体" w:hAnsi="宋体" w:eastAsia="宋体" w:cs="宋体"/>
          <w:b/>
          <w:bCs/>
          <w:sz w:val="52"/>
          <w:szCs w:val="52"/>
          <w:highlight w:val="none"/>
        </w:rPr>
      </w:pPr>
      <w:r>
        <w:rPr>
          <w:rFonts w:hint="eastAsia" w:ascii="宋体" w:hAnsi="宋体" w:eastAsia="宋体" w:cs="宋体"/>
          <w:b/>
          <w:bCs/>
          <w:sz w:val="52"/>
          <w:szCs w:val="52"/>
          <w:highlight w:val="none"/>
          <w:lang w:val="en-US" w:eastAsia="zh-CN"/>
        </w:rPr>
        <w:t>院内</w:t>
      </w:r>
      <w:r>
        <w:rPr>
          <w:rFonts w:hint="eastAsia" w:ascii="宋体" w:hAnsi="宋体" w:eastAsia="宋体" w:cs="宋体"/>
          <w:b/>
          <w:bCs/>
          <w:sz w:val="52"/>
          <w:szCs w:val="52"/>
          <w:highlight w:val="none"/>
        </w:rPr>
        <w:t>竞争性</w:t>
      </w:r>
      <w:r>
        <w:rPr>
          <w:rFonts w:hint="eastAsia" w:ascii="宋体" w:hAnsi="宋体" w:eastAsia="宋体" w:cs="宋体"/>
          <w:b/>
          <w:bCs/>
          <w:sz w:val="52"/>
          <w:szCs w:val="52"/>
          <w:highlight w:val="none"/>
          <w:lang w:val="en-US" w:eastAsia="zh-CN"/>
        </w:rPr>
        <w:t>谈判</w:t>
      </w:r>
      <w:r>
        <w:rPr>
          <w:rFonts w:hint="eastAsia" w:ascii="宋体" w:hAnsi="宋体" w:eastAsia="宋体" w:cs="宋体"/>
          <w:b/>
          <w:bCs/>
          <w:sz w:val="52"/>
          <w:szCs w:val="52"/>
          <w:highlight w:val="none"/>
        </w:rPr>
        <w:t>文件</w:t>
      </w:r>
    </w:p>
    <w:p>
      <w:pPr>
        <w:keepNext w:val="0"/>
        <w:keepLines w:val="0"/>
        <w:pageBreakBefore w:val="0"/>
        <w:widowControl w:val="0"/>
        <w:kinsoku/>
        <w:wordWrap/>
        <w:overflowPunct/>
        <w:topLinePunct w:val="0"/>
        <w:bidi w:val="0"/>
        <w:spacing w:line="594" w:lineRule="exact"/>
        <w:jc w:val="center"/>
        <w:rPr>
          <w:rFonts w:ascii="宋体" w:hAnsi="宋体" w:eastAsia="宋体" w:cs="宋体"/>
          <w:sz w:val="44"/>
          <w:szCs w:val="44"/>
          <w:highlight w:val="none"/>
        </w:rPr>
      </w:pPr>
    </w:p>
    <w:p>
      <w:pPr>
        <w:keepNext w:val="0"/>
        <w:keepLines w:val="0"/>
        <w:pageBreakBefore w:val="0"/>
        <w:widowControl w:val="0"/>
        <w:kinsoku/>
        <w:wordWrap/>
        <w:overflowPunct/>
        <w:topLinePunct w:val="0"/>
        <w:bidi w:val="0"/>
        <w:spacing w:line="594" w:lineRule="exact"/>
        <w:jc w:val="center"/>
        <w:rPr>
          <w:rFonts w:ascii="宋体" w:hAnsi="宋体" w:eastAsia="宋体" w:cs="宋体"/>
          <w:sz w:val="44"/>
          <w:szCs w:val="44"/>
          <w:highlight w:val="none"/>
        </w:rPr>
      </w:pPr>
    </w:p>
    <w:p>
      <w:pPr>
        <w:keepNext w:val="0"/>
        <w:keepLines w:val="0"/>
        <w:pageBreakBefore w:val="0"/>
        <w:widowControl w:val="0"/>
        <w:kinsoku/>
        <w:wordWrap/>
        <w:overflowPunct/>
        <w:topLinePunct w:val="0"/>
        <w:bidi w:val="0"/>
        <w:spacing w:line="594" w:lineRule="exact"/>
        <w:jc w:val="center"/>
        <w:rPr>
          <w:rFonts w:ascii="宋体" w:hAnsi="宋体" w:eastAsia="宋体" w:cs="宋体"/>
          <w:sz w:val="44"/>
          <w:szCs w:val="44"/>
          <w:highlight w:val="none"/>
        </w:rPr>
      </w:pPr>
    </w:p>
    <w:p>
      <w:pPr>
        <w:keepNext w:val="0"/>
        <w:keepLines w:val="0"/>
        <w:pageBreakBefore w:val="0"/>
        <w:widowControl w:val="0"/>
        <w:kinsoku/>
        <w:wordWrap/>
        <w:overflowPunct/>
        <w:topLinePunct w:val="0"/>
        <w:bidi w:val="0"/>
        <w:spacing w:line="594" w:lineRule="exact"/>
        <w:jc w:val="center"/>
        <w:rPr>
          <w:rFonts w:ascii="宋体" w:hAnsi="宋体" w:eastAsia="宋体" w:cs="宋体"/>
          <w:sz w:val="44"/>
          <w:szCs w:val="44"/>
          <w:highlight w:val="none"/>
        </w:rPr>
      </w:pPr>
    </w:p>
    <w:p>
      <w:pPr>
        <w:keepNext w:val="0"/>
        <w:keepLines w:val="0"/>
        <w:pageBreakBefore w:val="0"/>
        <w:widowControl w:val="0"/>
        <w:kinsoku/>
        <w:wordWrap/>
        <w:overflowPunct/>
        <w:topLinePunct w:val="0"/>
        <w:bidi w:val="0"/>
        <w:spacing w:line="594" w:lineRule="exact"/>
        <w:jc w:val="center"/>
        <w:rPr>
          <w:rFonts w:ascii="宋体" w:hAnsi="宋体" w:eastAsia="宋体" w:cs="宋体"/>
          <w:sz w:val="44"/>
          <w:szCs w:val="44"/>
          <w:highlight w:val="none"/>
        </w:rPr>
      </w:pPr>
    </w:p>
    <w:p>
      <w:pPr>
        <w:keepNext w:val="0"/>
        <w:keepLines w:val="0"/>
        <w:pageBreakBefore w:val="0"/>
        <w:widowControl w:val="0"/>
        <w:kinsoku/>
        <w:wordWrap/>
        <w:overflowPunct/>
        <w:topLinePunct w:val="0"/>
        <w:bidi w:val="0"/>
        <w:spacing w:line="594" w:lineRule="exact"/>
        <w:jc w:val="center"/>
        <w:rPr>
          <w:rFonts w:ascii="宋体" w:hAnsi="宋体" w:eastAsia="宋体" w:cs="宋体"/>
          <w:sz w:val="44"/>
          <w:szCs w:val="44"/>
          <w:highlight w:val="none"/>
        </w:rPr>
      </w:pPr>
    </w:p>
    <w:p>
      <w:pPr>
        <w:keepNext w:val="0"/>
        <w:keepLines w:val="0"/>
        <w:pageBreakBefore w:val="0"/>
        <w:widowControl w:val="0"/>
        <w:kinsoku/>
        <w:wordWrap/>
        <w:overflowPunct/>
        <w:topLinePunct w:val="0"/>
        <w:bidi w:val="0"/>
        <w:spacing w:line="594" w:lineRule="exact"/>
        <w:jc w:val="center"/>
        <w:rPr>
          <w:rFonts w:ascii="宋体" w:hAnsi="宋体" w:eastAsia="宋体" w:cs="宋体"/>
          <w:sz w:val="44"/>
          <w:szCs w:val="44"/>
          <w:highlight w:val="none"/>
        </w:rPr>
      </w:pPr>
    </w:p>
    <w:p>
      <w:pPr>
        <w:keepNext w:val="0"/>
        <w:keepLines w:val="0"/>
        <w:pageBreakBefore w:val="0"/>
        <w:widowControl w:val="0"/>
        <w:kinsoku/>
        <w:wordWrap/>
        <w:overflowPunct/>
        <w:topLinePunct w:val="0"/>
        <w:bidi w:val="0"/>
        <w:spacing w:line="594" w:lineRule="exact"/>
        <w:jc w:val="center"/>
        <w:rPr>
          <w:rFonts w:ascii="宋体" w:hAnsi="宋体" w:eastAsia="宋体" w:cs="宋体"/>
          <w:sz w:val="32"/>
          <w:szCs w:val="32"/>
          <w:highlight w:val="none"/>
        </w:rPr>
      </w:pPr>
      <w:r>
        <w:rPr>
          <w:rFonts w:hint="eastAsia" w:ascii="宋体" w:hAnsi="宋体" w:eastAsia="宋体" w:cs="宋体"/>
          <w:sz w:val="32"/>
          <w:szCs w:val="32"/>
          <w:highlight w:val="none"/>
        </w:rPr>
        <w:t>采购人：德阳市精神卫生中心</w:t>
      </w:r>
    </w:p>
    <w:p>
      <w:pPr>
        <w:keepNext w:val="0"/>
        <w:keepLines w:val="0"/>
        <w:pageBreakBefore w:val="0"/>
        <w:widowControl w:val="0"/>
        <w:kinsoku/>
        <w:wordWrap/>
        <w:overflowPunct/>
        <w:topLinePunct w:val="0"/>
        <w:bidi w:val="0"/>
        <w:spacing w:line="594" w:lineRule="exact"/>
        <w:jc w:val="center"/>
        <w:rPr>
          <w:rFonts w:ascii="宋体" w:hAnsi="宋体" w:eastAsia="宋体" w:cs="宋体"/>
          <w:sz w:val="32"/>
          <w:szCs w:val="32"/>
          <w:highlight w:val="none"/>
        </w:rPr>
      </w:pPr>
      <w:r>
        <w:rPr>
          <w:rFonts w:hint="eastAsia" w:ascii="宋体" w:hAnsi="宋体" w:eastAsia="宋体" w:cs="宋体"/>
          <w:sz w:val="32"/>
          <w:szCs w:val="32"/>
          <w:highlight w:val="none"/>
        </w:rPr>
        <w:t>本</w:t>
      </w:r>
      <w:r>
        <w:rPr>
          <w:rFonts w:hint="eastAsia" w:ascii="宋体" w:hAnsi="宋体" w:eastAsia="宋体" w:cs="宋体"/>
          <w:sz w:val="32"/>
          <w:szCs w:val="32"/>
          <w:highlight w:val="none"/>
          <w:lang w:eastAsia="zh-CN"/>
        </w:rPr>
        <w:t>谈判</w:t>
      </w:r>
      <w:r>
        <w:rPr>
          <w:rFonts w:hint="eastAsia" w:ascii="宋体" w:hAnsi="宋体" w:eastAsia="宋体" w:cs="宋体"/>
          <w:sz w:val="32"/>
          <w:szCs w:val="32"/>
          <w:highlight w:val="none"/>
        </w:rPr>
        <w:t>文件由德阳市精神卫生中心编制</w:t>
      </w:r>
    </w:p>
    <w:p>
      <w:pPr>
        <w:keepNext w:val="0"/>
        <w:keepLines w:val="0"/>
        <w:pageBreakBefore w:val="0"/>
        <w:widowControl w:val="0"/>
        <w:kinsoku/>
        <w:wordWrap/>
        <w:overflowPunct/>
        <w:topLinePunct w:val="0"/>
        <w:bidi w:val="0"/>
        <w:spacing w:line="594" w:lineRule="exact"/>
        <w:jc w:val="center"/>
        <w:rPr>
          <w:rFonts w:ascii="宋体" w:hAnsi="宋体" w:eastAsia="宋体" w:cs="宋体"/>
          <w:sz w:val="32"/>
          <w:szCs w:val="32"/>
          <w:highlight w:val="none"/>
        </w:rPr>
      </w:pPr>
      <w:r>
        <w:rPr>
          <w:rFonts w:hint="eastAsia" w:ascii="宋体" w:hAnsi="宋体" w:eastAsia="宋体" w:cs="宋体"/>
          <w:sz w:val="32"/>
          <w:szCs w:val="32"/>
          <w:highlight w:val="none"/>
        </w:rPr>
        <w:t>202</w:t>
      </w:r>
      <w:r>
        <w:rPr>
          <w:rFonts w:hint="eastAsia" w:ascii="宋体" w:hAnsi="宋体" w:eastAsia="宋体" w:cs="宋体"/>
          <w:sz w:val="32"/>
          <w:szCs w:val="32"/>
          <w:highlight w:val="none"/>
          <w:lang w:val="en-US" w:eastAsia="zh-CN"/>
        </w:rPr>
        <w:t>5</w:t>
      </w:r>
      <w:r>
        <w:rPr>
          <w:rFonts w:hint="eastAsia" w:ascii="宋体" w:hAnsi="宋体" w:eastAsia="宋体" w:cs="宋体"/>
          <w:sz w:val="32"/>
          <w:szCs w:val="32"/>
          <w:highlight w:val="none"/>
        </w:rPr>
        <w:t>年</w:t>
      </w:r>
      <w:r>
        <w:rPr>
          <w:rFonts w:hint="eastAsia" w:ascii="宋体" w:hAnsi="宋体" w:eastAsia="宋体" w:cs="宋体"/>
          <w:sz w:val="32"/>
          <w:szCs w:val="32"/>
          <w:highlight w:val="none"/>
          <w:lang w:val="en-US" w:eastAsia="zh-CN"/>
        </w:rPr>
        <w:t>9</w:t>
      </w:r>
      <w:r>
        <w:rPr>
          <w:rFonts w:hint="eastAsia" w:ascii="宋体" w:hAnsi="宋体" w:eastAsia="宋体" w:cs="宋体"/>
          <w:sz w:val="32"/>
          <w:szCs w:val="32"/>
          <w:highlight w:val="none"/>
        </w:rPr>
        <w:t>月</w:t>
      </w:r>
    </w:p>
    <w:p>
      <w:pPr>
        <w:keepNext w:val="0"/>
        <w:keepLines w:val="0"/>
        <w:pageBreakBefore w:val="0"/>
        <w:widowControl w:val="0"/>
        <w:kinsoku/>
        <w:wordWrap/>
        <w:overflowPunct/>
        <w:topLinePunct w:val="0"/>
        <w:bidi w:val="0"/>
        <w:spacing w:line="594" w:lineRule="exact"/>
        <w:jc w:val="center"/>
        <w:rPr>
          <w:rFonts w:ascii="宋体" w:hAnsi="宋体" w:eastAsia="宋体" w:cs="宋体"/>
          <w:sz w:val="32"/>
          <w:szCs w:val="32"/>
          <w:highlight w:val="none"/>
        </w:rPr>
        <w:sectPr>
          <w:footerReference r:id="rId3" w:type="default"/>
          <w:footerReference r:id="rId4"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widowControl w:val="0"/>
        <w:kinsoku/>
        <w:wordWrap/>
        <w:overflowPunct/>
        <w:topLinePunct w:val="0"/>
        <w:bidi w:val="0"/>
        <w:jc w:val="center"/>
        <w:rPr>
          <w:rFonts w:hint="eastAsia" w:ascii="宋体" w:hAnsi="宋体" w:eastAsia="宋体" w:cs="宋体"/>
          <w:sz w:val="44"/>
          <w:szCs w:val="44"/>
          <w:highlight w:val="none"/>
        </w:rPr>
      </w:pPr>
      <w:r>
        <w:rPr>
          <w:rFonts w:hint="eastAsia" w:ascii="宋体" w:hAnsi="宋体" w:eastAsia="宋体" w:cs="宋体"/>
          <w:sz w:val="44"/>
          <w:szCs w:val="44"/>
          <w:highlight w:val="none"/>
        </w:rPr>
        <w:t>目  录</w:t>
      </w:r>
    </w:p>
    <w:p>
      <w:pPr>
        <w:pStyle w:val="7"/>
        <w:keepNext w:val="0"/>
        <w:keepLines w:val="0"/>
        <w:pageBreakBefore w:val="0"/>
        <w:widowControl w:val="0"/>
        <w:kinsoku/>
        <w:wordWrap/>
        <w:overflowPunct/>
        <w:topLinePunct w:val="0"/>
        <w:bidi w:val="0"/>
        <w:rPr>
          <w:highlight w:val="none"/>
        </w:rPr>
      </w:pPr>
    </w:p>
    <w:p>
      <w:pPr>
        <w:pStyle w:val="14"/>
        <w:keepNext w:val="0"/>
        <w:keepLines w:val="0"/>
        <w:pageBreakBefore w:val="0"/>
        <w:widowControl w:val="0"/>
        <w:tabs>
          <w:tab w:val="right" w:leader="dot" w:pos="8306"/>
        </w:tabs>
        <w:kinsoku/>
        <w:wordWrap/>
        <w:overflowPunct/>
        <w:topLinePunct w:val="0"/>
        <w:bidi w:val="0"/>
        <w:rPr>
          <w:sz w:val="28"/>
          <w:szCs w:val="28"/>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TOC \o "1-1" \h \u </w:instrText>
      </w:r>
      <w:r>
        <w:rPr>
          <w:rFonts w:hint="eastAsia" w:ascii="宋体" w:hAnsi="宋体" w:eastAsia="宋体" w:cs="宋体"/>
          <w:sz w:val="32"/>
          <w:szCs w:val="32"/>
          <w:highlight w:val="none"/>
        </w:rPr>
        <w:fldChar w:fldCharType="separate"/>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_Toc12029 </w:instrText>
      </w:r>
      <w:r>
        <w:rPr>
          <w:rFonts w:hint="eastAsia" w:ascii="宋体" w:hAnsi="宋体" w:eastAsia="宋体" w:cs="宋体"/>
          <w:sz w:val="28"/>
          <w:szCs w:val="28"/>
          <w:highlight w:val="none"/>
        </w:rPr>
        <w:fldChar w:fldCharType="separate"/>
      </w:r>
      <w:r>
        <w:rPr>
          <w:rFonts w:hint="eastAsia"/>
          <w:sz w:val="28"/>
          <w:szCs w:val="28"/>
          <w:highlight w:val="none"/>
        </w:rPr>
        <w:t xml:space="preserve">第一章   </w:t>
      </w:r>
      <w:r>
        <w:rPr>
          <w:rFonts w:hint="eastAsia"/>
          <w:sz w:val="28"/>
          <w:szCs w:val="28"/>
          <w:highlight w:val="none"/>
          <w:lang w:val="en-US" w:eastAsia="zh-CN"/>
        </w:rPr>
        <w:t>谈判</w:t>
      </w:r>
      <w:r>
        <w:rPr>
          <w:rFonts w:hint="eastAsia"/>
          <w:sz w:val="28"/>
          <w:szCs w:val="28"/>
          <w:highlight w:val="none"/>
        </w:rPr>
        <w:t>邀请公告</w:t>
      </w:r>
      <w:r>
        <w:rPr>
          <w:sz w:val="28"/>
          <w:szCs w:val="28"/>
          <w:highlight w:val="none"/>
        </w:rPr>
        <w:tab/>
      </w:r>
      <w:r>
        <w:rPr>
          <w:rFonts w:hint="eastAsia"/>
          <w:sz w:val="28"/>
          <w:szCs w:val="28"/>
          <w:highlight w:val="none"/>
          <w:lang w:val="en-US" w:eastAsia="zh-CN"/>
        </w:rPr>
        <w:t>1</w:t>
      </w:r>
      <w:r>
        <w:rPr>
          <w:rFonts w:hint="eastAsia" w:ascii="宋体" w:hAnsi="宋体" w:eastAsia="宋体" w:cs="宋体"/>
          <w:sz w:val="28"/>
          <w:szCs w:val="28"/>
          <w:highlight w:val="none"/>
        </w:rPr>
        <w:fldChar w:fldCharType="end"/>
      </w:r>
    </w:p>
    <w:p>
      <w:pPr>
        <w:pStyle w:val="14"/>
        <w:keepNext w:val="0"/>
        <w:keepLines w:val="0"/>
        <w:pageBreakBefore w:val="0"/>
        <w:widowControl w:val="0"/>
        <w:tabs>
          <w:tab w:val="right" w:leader="dot" w:pos="8306"/>
        </w:tabs>
        <w:kinsoku/>
        <w:wordWrap/>
        <w:overflowPunct/>
        <w:topLinePunct w:val="0"/>
        <w:bidi w:val="0"/>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\l _Toc22648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第二章  谈判须知</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lang w:val="en-US" w:eastAsia="zh-CN"/>
        </w:rPr>
        <w:t>4</w:t>
      </w:r>
      <w:r>
        <w:rPr>
          <w:rFonts w:hint="eastAsia" w:ascii="宋体" w:hAnsi="宋体" w:eastAsia="宋体" w:cs="宋体"/>
          <w:b w:val="0"/>
          <w:bCs w:val="0"/>
          <w:sz w:val="28"/>
          <w:szCs w:val="28"/>
          <w:highlight w:val="none"/>
        </w:rPr>
        <w:fldChar w:fldCharType="end"/>
      </w:r>
    </w:p>
    <w:p>
      <w:pPr>
        <w:pStyle w:val="14"/>
        <w:keepNext w:val="0"/>
        <w:keepLines w:val="0"/>
        <w:pageBreakBefore w:val="0"/>
        <w:widowControl w:val="0"/>
        <w:tabs>
          <w:tab w:val="right" w:leader="dot" w:pos="8306"/>
        </w:tabs>
        <w:kinsoku/>
        <w:wordWrap/>
        <w:overflowPunct/>
        <w:topLinePunct w:val="0"/>
        <w:bidi w:val="0"/>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\l _Toc28148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kern w:val="0"/>
          <w:sz w:val="28"/>
          <w:szCs w:val="28"/>
          <w:highlight w:val="none"/>
        </w:rPr>
        <w:t>第三章  采购项目</w:t>
      </w:r>
      <w:r>
        <w:rPr>
          <w:rFonts w:hint="eastAsia" w:ascii="宋体" w:hAnsi="宋体" w:eastAsia="宋体" w:cs="宋体"/>
          <w:b w:val="0"/>
          <w:bCs w:val="0"/>
          <w:kern w:val="0"/>
          <w:sz w:val="28"/>
          <w:szCs w:val="28"/>
          <w:highlight w:val="none"/>
          <w:lang w:val="en-US" w:eastAsia="zh-CN"/>
        </w:rPr>
        <w:t>技术</w:t>
      </w:r>
      <w:r>
        <w:rPr>
          <w:rFonts w:hint="eastAsia" w:ascii="宋体" w:hAnsi="宋体" w:eastAsia="宋体" w:cs="宋体"/>
          <w:b w:val="0"/>
          <w:bCs w:val="0"/>
          <w:kern w:val="0"/>
          <w:sz w:val="28"/>
          <w:szCs w:val="28"/>
          <w:highlight w:val="none"/>
        </w:rPr>
        <w:t>、商务</w:t>
      </w:r>
      <w:r>
        <w:rPr>
          <w:rFonts w:hint="eastAsia" w:ascii="宋体" w:hAnsi="宋体" w:eastAsia="宋体" w:cs="宋体"/>
          <w:b w:val="0"/>
          <w:bCs w:val="0"/>
          <w:kern w:val="0"/>
          <w:sz w:val="28"/>
          <w:szCs w:val="28"/>
          <w:highlight w:val="none"/>
          <w:lang w:val="en-US" w:eastAsia="zh-CN"/>
        </w:rPr>
        <w:t>及</w:t>
      </w:r>
      <w:r>
        <w:rPr>
          <w:rFonts w:hint="eastAsia" w:ascii="宋体" w:hAnsi="宋体" w:eastAsia="宋体" w:cs="宋体"/>
          <w:b w:val="0"/>
          <w:bCs w:val="0"/>
          <w:kern w:val="0"/>
          <w:sz w:val="28"/>
          <w:szCs w:val="28"/>
          <w:highlight w:val="none"/>
        </w:rPr>
        <w:t>其他要求</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lang w:val="en-US" w:eastAsia="zh-CN"/>
        </w:rPr>
        <w:t>6</w:t>
      </w:r>
      <w:r>
        <w:rPr>
          <w:rFonts w:hint="eastAsia" w:ascii="宋体" w:hAnsi="宋体" w:eastAsia="宋体" w:cs="宋体"/>
          <w:b w:val="0"/>
          <w:bCs w:val="0"/>
          <w:sz w:val="28"/>
          <w:szCs w:val="28"/>
          <w:highlight w:val="none"/>
        </w:rPr>
        <w:fldChar w:fldCharType="end"/>
      </w:r>
    </w:p>
    <w:p>
      <w:pPr>
        <w:pStyle w:val="14"/>
        <w:keepNext w:val="0"/>
        <w:keepLines w:val="0"/>
        <w:pageBreakBefore w:val="0"/>
        <w:widowControl w:val="0"/>
        <w:tabs>
          <w:tab w:val="right" w:leader="dot" w:pos="8306"/>
        </w:tabs>
        <w:kinsoku/>
        <w:wordWrap/>
        <w:overflowPunct/>
        <w:topLinePunct w:val="0"/>
        <w:bidi w:val="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\l _Toc16230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第四章  响应文件内容及制作要求</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lang w:val="en-US" w:eastAsia="zh-CN"/>
        </w:rPr>
        <w:t>1</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lang w:val="en-US" w:eastAsia="zh-CN"/>
        </w:rPr>
        <w:t>2</w:t>
      </w:r>
    </w:p>
    <w:p>
      <w:pPr>
        <w:pStyle w:val="14"/>
        <w:keepNext w:val="0"/>
        <w:keepLines w:val="0"/>
        <w:pageBreakBefore w:val="0"/>
        <w:widowControl w:val="0"/>
        <w:tabs>
          <w:tab w:val="right" w:leader="dot" w:pos="8306"/>
        </w:tabs>
        <w:kinsoku/>
        <w:wordWrap/>
        <w:overflowPunct/>
        <w:topLinePunct w:val="0"/>
        <w:bidi w:val="0"/>
        <w:rPr>
          <w:rFonts w:hint="eastAsia" w:eastAsia="宋体"/>
          <w:sz w:val="28"/>
          <w:szCs w:val="28"/>
          <w:highlight w:val="none"/>
          <w:lang w:val="en-US" w:eastAsia="zh-CN"/>
        </w:rPr>
      </w:pP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\l _Toc32336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lang w:val="zh-CN"/>
        </w:rPr>
        <w:t xml:space="preserve">第五章  </w:t>
      </w:r>
      <w:r>
        <w:rPr>
          <w:rFonts w:hint="eastAsia" w:ascii="宋体" w:hAnsi="宋体" w:eastAsia="宋体" w:cs="宋体"/>
          <w:b w:val="0"/>
          <w:bCs w:val="0"/>
          <w:sz w:val="28"/>
          <w:szCs w:val="28"/>
          <w:highlight w:val="none"/>
        </w:rPr>
        <w:t>开评标及定标</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lang w:val="en-US" w:eastAsia="zh-CN"/>
        </w:rPr>
        <w:t>1</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lang w:val="en-US" w:eastAsia="zh-CN"/>
        </w:rPr>
        <w:t>4</w:t>
      </w:r>
    </w:p>
    <w:p>
      <w:pPr>
        <w:pStyle w:val="14"/>
        <w:keepNext w:val="0"/>
        <w:keepLines w:val="0"/>
        <w:pageBreakBefore w:val="0"/>
        <w:widowControl w:val="0"/>
        <w:tabs>
          <w:tab w:val="right" w:leader="dot" w:pos="8306"/>
        </w:tabs>
        <w:kinsoku/>
        <w:wordWrap/>
        <w:overflowPunct/>
        <w:topLinePunct w:val="0"/>
        <w:bidi w:val="0"/>
        <w:rPr>
          <w:rFonts w:hint="eastAsia" w:eastAsia="宋体"/>
          <w:highlight w:val="none"/>
          <w:lang w:val="en-US" w:eastAsia="zh-CN"/>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_Toc11523 </w:instrText>
      </w:r>
      <w:r>
        <w:rPr>
          <w:rFonts w:hint="eastAsia" w:ascii="宋体" w:hAnsi="宋体" w:eastAsia="宋体" w:cs="宋体"/>
          <w:sz w:val="28"/>
          <w:szCs w:val="28"/>
          <w:highlight w:val="none"/>
        </w:rPr>
        <w:fldChar w:fldCharType="separate"/>
      </w:r>
      <w:r>
        <w:rPr>
          <w:rFonts w:hint="eastAsia"/>
          <w:bCs/>
          <w:sz w:val="28"/>
          <w:szCs w:val="28"/>
          <w:highlight w:val="none"/>
        </w:rPr>
        <w:t>第六章  响应文件格式</w:t>
      </w:r>
      <w:r>
        <w:rPr>
          <w:sz w:val="28"/>
          <w:szCs w:val="28"/>
          <w:highlight w:val="none"/>
        </w:rPr>
        <w:tab/>
      </w:r>
      <w:r>
        <w:rPr>
          <w:rFonts w:hint="eastAsia"/>
          <w:sz w:val="28"/>
          <w:szCs w:val="28"/>
          <w:highlight w:val="none"/>
          <w:lang w:val="en-US" w:eastAsia="zh-CN"/>
        </w:rPr>
        <w:t>1</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lang w:val="en-US" w:eastAsia="zh-CN"/>
        </w:rPr>
        <w:t>5</w:t>
      </w:r>
    </w:p>
    <w:p>
      <w:pPr>
        <w:keepNext w:val="0"/>
        <w:keepLines w:val="0"/>
        <w:pageBreakBefore w:val="0"/>
        <w:widowControl w:val="0"/>
        <w:kinsoku/>
        <w:wordWrap/>
        <w:overflowPunct/>
        <w:topLinePunct w:val="0"/>
        <w:bidi w:val="0"/>
        <w:spacing w:line="594" w:lineRule="exact"/>
        <w:jc w:val="center"/>
        <w:rPr>
          <w:rFonts w:ascii="宋体" w:hAnsi="宋体" w:eastAsia="宋体" w:cs="宋体"/>
          <w:sz w:val="32"/>
          <w:szCs w:val="32"/>
          <w:highlight w:val="none"/>
        </w:rPr>
        <w:sectPr>
          <w:footerReference r:id="rId5" w:type="default"/>
          <w:footerReference r:id="rId6" w:type="even"/>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宋体" w:hAnsi="宋体" w:eastAsia="宋体" w:cs="宋体"/>
          <w:szCs w:val="32"/>
          <w:highlight w:val="none"/>
        </w:rPr>
        <w:fldChar w:fldCharType="end"/>
      </w:r>
    </w:p>
    <w:p>
      <w:pPr>
        <w:pStyle w:val="2"/>
        <w:keepNext w:val="0"/>
        <w:keepLines w:val="0"/>
        <w:pageBreakBefore w:val="0"/>
        <w:widowControl w:val="0"/>
        <w:kinsoku/>
        <w:wordWrap/>
        <w:overflowPunct/>
        <w:topLinePunct w:val="0"/>
        <w:bidi w:val="0"/>
        <w:spacing w:before="260" w:after="260" w:line="600" w:lineRule="exact"/>
        <w:jc w:val="center"/>
        <w:outlineLvl w:val="0"/>
        <w:rPr>
          <w:rFonts w:ascii="宋体" w:hAnsi="宋体" w:cs="宋体"/>
          <w:szCs w:val="32"/>
          <w:highlight w:val="none"/>
        </w:rPr>
      </w:pPr>
      <w:bookmarkStart w:id="0" w:name="_Toc26003"/>
      <w:bookmarkStart w:id="1" w:name="_Toc12029"/>
      <w:r>
        <w:rPr>
          <w:rFonts w:hint="eastAsia"/>
          <w:sz w:val="36"/>
          <w:szCs w:val="36"/>
          <w:highlight w:val="none"/>
        </w:rPr>
        <w:t xml:space="preserve">第一章   </w:t>
      </w:r>
      <w:r>
        <w:rPr>
          <w:rFonts w:hint="eastAsia"/>
          <w:sz w:val="36"/>
          <w:szCs w:val="36"/>
          <w:highlight w:val="none"/>
          <w:lang w:val="en-US" w:eastAsia="zh-CN"/>
        </w:rPr>
        <w:t>谈判</w:t>
      </w:r>
      <w:r>
        <w:rPr>
          <w:rFonts w:hint="eastAsia"/>
          <w:sz w:val="36"/>
          <w:szCs w:val="36"/>
          <w:highlight w:val="none"/>
        </w:rPr>
        <w:t>邀请公告</w:t>
      </w:r>
      <w:bookmarkEnd w:id="0"/>
      <w:bookmarkEnd w:id="1"/>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仿宋_GB2312" w:eastAsia="仿宋_GB2312"/>
          <w:sz w:val="32"/>
          <w:szCs w:val="32"/>
          <w:highlight w:val="none"/>
        </w:rPr>
      </w:pPr>
      <w:r>
        <w:rPr>
          <w:rFonts w:hint="eastAsia" w:ascii="仿宋_GB2312" w:hAnsi="宋体" w:eastAsia="仿宋_GB2312"/>
          <w:sz w:val="32"/>
          <w:szCs w:val="32"/>
          <w:highlight w:val="none"/>
        </w:rPr>
        <w:t>德阳市精神卫生中心</w:t>
      </w:r>
      <w:bookmarkStart w:id="2" w:name="OLE_LINK1"/>
      <w:r>
        <w:rPr>
          <w:rFonts w:hint="eastAsia" w:ascii="仿宋_GB2312" w:hAnsi="宋体" w:eastAsia="仿宋_GB2312"/>
          <w:sz w:val="32"/>
          <w:szCs w:val="32"/>
          <w:highlight w:val="none"/>
        </w:rPr>
        <w:t>2025年网络安全服务</w:t>
      </w:r>
      <w:r>
        <w:rPr>
          <w:rFonts w:hint="eastAsia" w:ascii="仿宋_GB2312" w:hAnsi="宋体" w:eastAsia="仿宋_GB2312"/>
          <w:sz w:val="32"/>
          <w:szCs w:val="32"/>
          <w:highlight w:val="none"/>
          <w:lang w:val="en-US" w:eastAsia="zh-CN"/>
        </w:rPr>
        <w:t>采购项目</w:t>
      </w:r>
      <w:bookmarkEnd w:id="2"/>
      <w:r>
        <w:rPr>
          <w:rFonts w:hint="eastAsia" w:ascii="仿宋_GB2312" w:hAnsi="宋体" w:eastAsia="仿宋_GB2312"/>
          <w:sz w:val="32"/>
          <w:szCs w:val="32"/>
          <w:highlight w:val="none"/>
          <w:lang w:val="en-US" w:eastAsia="zh-CN"/>
        </w:rPr>
        <w:t>拟</w:t>
      </w:r>
      <w:r>
        <w:rPr>
          <w:rFonts w:hint="eastAsia" w:ascii="仿宋_GB2312" w:hAnsi="宋体" w:eastAsia="仿宋_GB2312"/>
          <w:sz w:val="32"/>
          <w:szCs w:val="32"/>
          <w:highlight w:val="none"/>
        </w:rPr>
        <w:t>采用</w:t>
      </w:r>
      <w:r>
        <w:rPr>
          <w:rFonts w:hint="eastAsia" w:ascii="仿宋_GB2312" w:hAnsi="宋体" w:eastAsia="仿宋_GB2312"/>
          <w:sz w:val="32"/>
          <w:szCs w:val="32"/>
          <w:highlight w:val="none"/>
          <w:lang w:val="en-US" w:eastAsia="zh-CN"/>
        </w:rPr>
        <w:t>院内</w:t>
      </w:r>
      <w:r>
        <w:rPr>
          <w:rFonts w:hint="eastAsia" w:ascii="仿宋_GB2312" w:hAnsi="宋体" w:eastAsia="仿宋_GB2312"/>
          <w:sz w:val="32"/>
          <w:szCs w:val="32"/>
          <w:highlight w:val="none"/>
        </w:rPr>
        <w:t>竞争性谈判的方式进行采购</w:t>
      </w:r>
      <w:r>
        <w:rPr>
          <w:rFonts w:hint="eastAsia" w:ascii="仿宋_GB2312" w:eastAsia="仿宋_GB2312"/>
          <w:sz w:val="32"/>
          <w:szCs w:val="32"/>
          <w:highlight w:val="none"/>
        </w:rPr>
        <w:t>，兹邀请符合本次采购要求的供应商参加。</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textAlignment w:val="auto"/>
        <w:rPr>
          <w:rFonts w:ascii="仿宋_GB2312" w:eastAsia="仿宋_GB2312"/>
          <w:sz w:val="32"/>
          <w:szCs w:val="32"/>
          <w:highlight w:val="none"/>
        </w:rPr>
      </w:pPr>
      <w:r>
        <w:rPr>
          <w:rFonts w:hint="eastAsia" w:ascii="仿宋_GB2312" w:eastAsia="仿宋_GB2312"/>
          <w:b/>
          <w:sz w:val="32"/>
          <w:szCs w:val="32"/>
          <w:highlight w:val="none"/>
        </w:rPr>
        <w:t>一、采购项目基本情况</w:t>
      </w:r>
      <w:r>
        <w:rPr>
          <w:rFonts w:hint="eastAsia" w:ascii="仿宋_GB2312" w:eastAsia="仿宋_GB2312"/>
          <w:b/>
          <w:sz w:val="32"/>
          <w:szCs w:val="32"/>
          <w:highlight w:val="none"/>
        </w:rPr>
        <w:cr/>
      </w:r>
      <w:r>
        <w:rPr>
          <w:rFonts w:hint="eastAsia" w:ascii="仿宋_GB2312" w:eastAsia="仿宋_GB2312"/>
          <w:sz w:val="32"/>
          <w:szCs w:val="32"/>
          <w:highlight w:val="none"/>
        </w:rPr>
        <w:t xml:space="preserve">    1、采购编号：DSJW(202</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)0</w:t>
      </w:r>
      <w:r>
        <w:rPr>
          <w:rFonts w:hint="eastAsia" w:ascii="仿宋_GB2312" w:eastAsia="仿宋_GB2312"/>
          <w:sz w:val="32"/>
          <w:szCs w:val="32"/>
          <w:highlight w:val="none"/>
          <w:lang w:val="en-US" w:eastAsia="zh-CN"/>
        </w:rPr>
        <w:t>30</w:t>
      </w:r>
      <w:r>
        <w:rPr>
          <w:rFonts w:hint="eastAsia" w:ascii="仿宋_GB2312" w:eastAsia="仿宋_GB2312"/>
          <w:sz w:val="32"/>
          <w:szCs w:val="32"/>
          <w:highlight w:val="none"/>
        </w:rPr>
        <w:t>号；</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rPr>
        <w:t>2、项目名称：</w:t>
      </w:r>
      <w:r>
        <w:rPr>
          <w:rFonts w:hint="eastAsia" w:ascii="仿宋_GB2312" w:hAnsi="宋体" w:eastAsia="仿宋_GB2312"/>
          <w:sz w:val="32"/>
          <w:szCs w:val="32"/>
          <w:highlight w:val="none"/>
        </w:rPr>
        <w:t>德阳市精神卫生中心2025年网络安全服务</w:t>
      </w:r>
      <w:r>
        <w:rPr>
          <w:rFonts w:hint="eastAsia" w:ascii="仿宋_GB2312" w:hAnsi="宋体" w:eastAsia="仿宋_GB2312"/>
          <w:sz w:val="32"/>
          <w:szCs w:val="32"/>
          <w:highlight w:val="none"/>
          <w:lang w:val="en-US" w:eastAsia="zh-CN"/>
        </w:rPr>
        <w:t>采购项目；</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rPr>
        <w:t>3、</w:t>
      </w:r>
      <w:r>
        <w:rPr>
          <w:rFonts w:hint="eastAsia" w:ascii="仿宋_GB2312" w:eastAsia="仿宋_GB2312"/>
          <w:sz w:val="32"/>
          <w:szCs w:val="32"/>
          <w:highlight w:val="none"/>
          <w:lang w:val="en-US" w:eastAsia="zh-CN"/>
        </w:rPr>
        <w:t>资金来源</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一般债；</w:t>
      </w:r>
    </w:p>
    <w:p>
      <w:pPr>
        <w:pStyle w:val="22"/>
        <w:keepNext/>
        <w:keepLines/>
        <w:pageBreakBefore w:val="0"/>
        <w:widowControl w:val="0"/>
        <w:numPr>
          <w:ilvl w:val="0"/>
          <w:numId w:val="0"/>
        </w:numPr>
        <w:kinsoku/>
        <w:wordWrap/>
        <w:overflowPunct/>
        <w:topLinePunct w:val="0"/>
        <w:autoSpaceDE/>
        <w:autoSpaceDN/>
        <w:bidi w:val="0"/>
        <w:adjustRightInd/>
        <w:snapToGrid/>
        <w:spacing w:before="0" w:after="0" w:line="580" w:lineRule="exact"/>
        <w:ind w:firstLine="640" w:firstLineChars="200"/>
        <w:textAlignment w:val="auto"/>
        <w:rPr>
          <w:rFonts w:hint="eastAsia" w:ascii="仿宋_GB2312" w:eastAsia="仿宋_GB2312" w:hAnsiTheme="minorHAnsi" w:cstheme="minorBidi"/>
          <w:b w:val="0"/>
          <w:kern w:val="2"/>
          <w:sz w:val="32"/>
          <w:szCs w:val="32"/>
          <w:highlight w:val="none"/>
          <w:lang w:val="en-US" w:eastAsia="zh-CN" w:bidi="ar-SA"/>
        </w:rPr>
      </w:pPr>
      <w:r>
        <w:rPr>
          <w:rFonts w:hint="eastAsia" w:ascii="仿宋_GB2312" w:eastAsia="仿宋_GB2312" w:hAnsiTheme="minorHAnsi" w:cstheme="minorBidi"/>
          <w:b w:val="0"/>
          <w:kern w:val="2"/>
          <w:sz w:val="32"/>
          <w:szCs w:val="32"/>
          <w:highlight w:val="none"/>
          <w:lang w:val="en-US" w:eastAsia="zh-CN" w:bidi="ar-SA"/>
        </w:rPr>
        <w:t>4、服务期限：60个日历天；</w:t>
      </w:r>
    </w:p>
    <w:p>
      <w:pPr>
        <w:pStyle w:val="23"/>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default"/>
          <w:highlight w:val="none"/>
          <w:lang w:val="en-US" w:eastAsia="zh-CN"/>
        </w:rPr>
      </w:pPr>
      <w:r>
        <w:rPr>
          <w:rFonts w:hint="eastAsia" w:ascii="仿宋_GB2312" w:eastAsia="仿宋_GB2312" w:hAnsiTheme="minorHAnsi" w:cstheme="minorBidi"/>
          <w:b w:val="0"/>
          <w:kern w:val="2"/>
          <w:sz w:val="32"/>
          <w:szCs w:val="32"/>
          <w:highlight w:val="none"/>
          <w:lang w:val="en-US" w:eastAsia="zh-CN" w:bidi="ar-SA"/>
        </w:rPr>
        <w:t>5、采购预算：3.6万元。</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textAlignment w:val="auto"/>
        <w:rPr>
          <w:rFonts w:ascii="仿宋_GB2312" w:hAnsi="Calibri" w:eastAsia="仿宋_GB2312" w:cs="Times New Roman"/>
          <w:sz w:val="32"/>
          <w:szCs w:val="32"/>
          <w:highlight w:val="none"/>
        </w:rPr>
      </w:pPr>
      <w:r>
        <w:rPr>
          <w:rFonts w:hint="eastAsia" w:ascii="仿宋_GB2312" w:eastAsia="仿宋_GB2312"/>
          <w:b/>
          <w:sz w:val="32"/>
          <w:szCs w:val="32"/>
          <w:highlight w:val="none"/>
        </w:rPr>
        <w:t>二、供应商资格要求</w:t>
      </w:r>
      <w:r>
        <w:rPr>
          <w:rFonts w:hint="eastAsia" w:ascii="仿宋_GB2312" w:eastAsia="仿宋_GB2312"/>
          <w:sz w:val="32"/>
          <w:szCs w:val="32"/>
          <w:highlight w:val="none"/>
        </w:rPr>
        <w:cr/>
      </w:r>
      <w:r>
        <w:rPr>
          <w:rFonts w:hint="eastAsia" w:ascii="仿宋_GB2312" w:eastAsia="仿宋_GB2312"/>
          <w:sz w:val="32"/>
          <w:szCs w:val="32"/>
          <w:highlight w:val="none"/>
        </w:rPr>
        <w:t xml:space="preserve">    </w:t>
      </w:r>
      <w:r>
        <w:rPr>
          <w:rFonts w:hint="eastAsia" w:ascii="仿宋_GB2312" w:hAnsi="Calibri" w:eastAsia="仿宋_GB2312" w:cs="Times New Roman"/>
          <w:sz w:val="32"/>
          <w:szCs w:val="32"/>
          <w:highlight w:val="none"/>
        </w:rPr>
        <w:t>1、具有独立承担民事责任的能力；</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仿宋_GB2312" w:hAnsi="Calibri" w:eastAsia="仿宋_GB2312" w:cs="Times New Roman"/>
          <w:sz w:val="32"/>
          <w:szCs w:val="32"/>
          <w:highlight w:val="none"/>
        </w:rPr>
      </w:pPr>
      <w:r>
        <w:rPr>
          <w:rFonts w:hint="eastAsia" w:ascii="仿宋_GB2312" w:hAnsi="Calibri" w:eastAsia="仿宋_GB2312" w:cs="Times New Roman"/>
          <w:sz w:val="32"/>
          <w:szCs w:val="32"/>
          <w:highlight w:val="none"/>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仿宋_GB2312" w:hAnsi="Calibri" w:eastAsia="仿宋_GB2312" w:cs="Times New Roman"/>
          <w:sz w:val="32"/>
          <w:szCs w:val="32"/>
          <w:highlight w:val="none"/>
        </w:rPr>
      </w:pPr>
      <w:r>
        <w:rPr>
          <w:rFonts w:hint="eastAsia" w:ascii="仿宋_GB2312" w:hAnsi="Calibri" w:eastAsia="仿宋_GB2312" w:cs="Times New Roman"/>
          <w:sz w:val="32"/>
          <w:szCs w:val="32"/>
          <w:highlight w:val="none"/>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仿宋_GB2312" w:hAnsi="Calibri" w:eastAsia="仿宋_GB2312" w:cs="Times New Roman"/>
          <w:sz w:val="32"/>
          <w:szCs w:val="32"/>
          <w:highlight w:val="none"/>
        </w:rPr>
      </w:pPr>
      <w:r>
        <w:rPr>
          <w:rFonts w:hint="eastAsia" w:ascii="仿宋_GB2312" w:hAnsi="Calibri" w:eastAsia="仿宋_GB2312" w:cs="Times New Roman"/>
          <w:sz w:val="32"/>
          <w:szCs w:val="32"/>
          <w:highlight w:val="none"/>
        </w:rPr>
        <w:t>4、具有依法缴纳税收和社会保障资金的良好记录；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Calibri" w:eastAsia="仿宋_GB2312" w:cs="Times New Roman"/>
          <w:sz w:val="32"/>
          <w:szCs w:val="32"/>
          <w:highlight w:val="none"/>
        </w:rPr>
      </w:pPr>
      <w:r>
        <w:rPr>
          <w:rFonts w:hint="eastAsia" w:ascii="仿宋_GB2312" w:hAnsi="Calibri" w:eastAsia="仿宋_GB2312" w:cs="Times New Roman"/>
          <w:sz w:val="32"/>
          <w:szCs w:val="32"/>
          <w:highlight w:val="none"/>
        </w:rPr>
        <w:t>5、参加本次采购活动前三年内，在经营活动中没有重大违法记录；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仿宋_GB2312" w:eastAsia="仿宋_GB2312" w:cs="Times New Roman"/>
          <w:sz w:val="32"/>
          <w:szCs w:val="32"/>
          <w:highlight w:val="none"/>
          <w:lang w:eastAsia="zh-CN"/>
        </w:rPr>
      </w:pPr>
      <w:r>
        <w:rPr>
          <w:rFonts w:hint="eastAsia" w:ascii="仿宋_GB2312" w:eastAsia="仿宋_GB2312" w:cs="Times New Roman"/>
          <w:sz w:val="32"/>
          <w:szCs w:val="32"/>
          <w:highlight w:val="none"/>
        </w:rPr>
        <w:t>6、法律、行政法规规定的其他条件</w:t>
      </w:r>
      <w:r>
        <w:rPr>
          <w:rFonts w:hint="eastAsia" w:ascii="仿宋_GB2312" w:eastAsia="仿宋_GB2312"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仿宋_GB2312" w:eastAsia="仿宋_GB2312" w:cs="Times New Roman"/>
          <w:sz w:val="32"/>
          <w:szCs w:val="32"/>
          <w:highlight w:val="yellow"/>
          <w:lang w:val="en-US" w:eastAsia="zh-CN"/>
        </w:rPr>
      </w:pPr>
      <w:r>
        <w:rPr>
          <w:rFonts w:hint="eastAsia" w:ascii="仿宋_GB2312" w:eastAsia="仿宋_GB2312" w:cs="Times New Roman"/>
          <w:sz w:val="32"/>
          <w:szCs w:val="32"/>
          <w:highlight w:val="none"/>
          <w:lang w:val="en-US" w:eastAsia="zh-CN"/>
        </w:rPr>
        <w:t>7、</w:t>
      </w:r>
      <w:r>
        <w:rPr>
          <w:rFonts w:hint="eastAsia" w:ascii="仿宋_GB2312" w:eastAsia="仿宋_GB2312" w:cs="Times New Roman"/>
          <w:sz w:val="32"/>
          <w:szCs w:val="32"/>
          <w:highlight w:val="none"/>
        </w:rPr>
        <w:t>根据采购项目提出的特殊条件：</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仿宋_GB2312" w:eastAsia="仿宋_GB2312" w:cs="Times New Roman"/>
          <w:sz w:val="32"/>
          <w:szCs w:val="32"/>
          <w:lang w:eastAsia="zh-CN"/>
        </w:rPr>
      </w:pPr>
      <w:r>
        <w:rPr>
          <w:rFonts w:hint="eastAsia" w:ascii="仿宋_GB2312" w:eastAsia="仿宋_GB2312" w:cs="Times New Roman"/>
          <w:sz w:val="32"/>
          <w:szCs w:val="32"/>
          <w:highlight w:val="none"/>
          <w:lang w:val="en-US" w:eastAsia="zh-CN"/>
        </w:rPr>
        <w:t>7.1</w:t>
      </w:r>
      <w:r>
        <w:rPr>
          <w:rFonts w:hint="eastAsia" w:ascii="仿宋_GB2312" w:eastAsia="仿宋_GB2312" w:cs="Times New Roman"/>
          <w:sz w:val="32"/>
          <w:szCs w:val="32"/>
        </w:rPr>
        <w:t>本项目不接受联合体</w:t>
      </w:r>
      <w:r>
        <w:rPr>
          <w:rFonts w:hint="eastAsia" w:ascii="仿宋_GB2312"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eastAsia="仿宋_GB2312" w:cs="Times New Roman"/>
          <w:sz w:val="32"/>
          <w:szCs w:val="32"/>
          <w:highlight w:val="none"/>
          <w:lang w:val="en-US" w:eastAsia="zh-CN"/>
        </w:rPr>
      </w:pPr>
      <w:r>
        <w:rPr>
          <w:rFonts w:hint="eastAsia" w:ascii="仿宋_GB2312" w:eastAsia="仿宋_GB2312" w:cs="Times New Roman"/>
          <w:sz w:val="32"/>
          <w:szCs w:val="32"/>
          <w:highlight w:val="none"/>
          <w:lang w:val="en-US" w:eastAsia="zh-CN"/>
        </w:rPr>
        <w:t>7.2</w:t>
      </w:r>
      <w:r>
        <w:rPr>
          <w:rFonts w:hint="eastAsia" w:ascii="仿宋_GB2312" w:eastAsia="仿宋_GB2312" w:cs="Times New Roman"/>
          <w:sz w:val="32"/>
          <w:szCs w:val="32"/>
          <w:highlight w:val="none"/>
        </w:rPr>
        <w:t>具有公安部第三研究所颁发的网络安全服务认证证书等级保护测评服务认证。</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textAlignment w:val="auto"/>
        <w:rPr>
          <w:rFonts w:ascii="仿宋" w:hAnsi="仿宋" w:eastAsia="仿宋"/>
          <w:b/>
          <w:sz w:val="32"/>
          <w:szCs w:val="32"/>
          <w:highlight w:val="none"/>
        </w:rPr>
      </w:pPr>
      <w:r>
        <w:rPr>
          <w:rFonts w:hint="eastAsia" w:ascii="仿宋" w:hAnsi="仿宋" w:eastAsia="仿宋"/>
          <w:b/>
          <w:sz w:val="32"/>
          <w:szCs w:val="32"/>
          <w:highlight w:val="none"/>
          <w:lang w:val="en-US" w:eastAsia="zh-CN"/>
        </w:rPr>
        <w:t>三</w:t>
      </w:r>
      <w:r>
        <w:rPr>
          <w:rFonts w:hint="eastAsia" w:ascii="仿宋" w:hAnsi="仿宋" w:eastAsia="仿宋"/>
          <w:b/>
          <w:sz w:val="32"/>
          <w:szCs w:val="32"/>
          <w:highlight w:val="none"/>
        </w:rPr>
        <w:t>、严禁参加本次采购活动的供应商</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宋体" w:eastAsia="仿宋_GB2312"/>
          <w:sz w:val="32"/>
          <w:szCs w:val="32"/>
          <w:highlight w:val="none"/>
        </w:rPr>
      </w:pPr>
      <w:r>
        <w:rPr>
          <w:rFonts w:hint="eastAsia" w:ascii="仿宋_GB2312" w:hAnsi="宋体" w:eastAsia="仿宋_GB2312"/>
          <w:sz w:val="32"/>
          <w:szCs w:val="32"/>
          <w:highlight w:val="none"/>
          <w:lang w:val="en-US" w:eastAsia="zh-CN"/>
        </w:rPr>
        <w:t>1、</w:t>
      </w:r>
      <w:r>
        <w:rPr>
          <w:rFonts w:hint="eastAsia" w:ascii="仿宋_GB2312" w:hAnsi="宋体" w:eastAsia="仿宋_GB2312"/>
          <w:sz w:val="32"/>
          <w:szCs w:val="32"/>
          <w:highlight w:val="none"/>
        </w:rPr>
        <w:t>根据《关于在政府采购活动中查询及使用信用记录有关问题的通知》（财库〔2016〕125号）的要求，通过“信用中国”网站（www.creditchina.gov.cn）、“中国政府采购网”网站（www.ccgp.gov.cn）等渠道查询供应商在采购公告发布之日前的信用记录并保存信用记录结果网页截图，拒绝列入失信被执行人名单、重大税收违法案件当事人名单、政府采购严重违法失信行为记录名单中的供应商报名参加本项目的采购活动。</w:t>
      </w:r>
    </w:p>
    <w:p>
      <w:pPr>
        <w:pStyle w:val="7"/>
        <w:keepNext w:val="0"/>
        <w:keepLines w:val="0"/>
        <w:pageBreakBefore w:val="0"/>
        <w:widowControl w:val="0"/>
        <w:kinsoku/>
        <w:wordWrap/>
        <w:overflowPunct/>
        <w:topLinePunct w:val="0"/>
        <w:autoSpaceDE/>
        <w:autoSpaceDN/>
        <w:bidi w:val="0"/>
        <w:adjustRightInd/>
        <w:snapToGrid/>
        <w:spacing w:after="0" w:line="580" w:lineRule="exact"/>
        <w:ind w:left="0" w:firstLine="640" w:firstLineChars="200"/>
        <w:textAlignment w:val="auto"/>
        <w:rPr>
          <w:rFonts w:hint="default"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2、</w:t>
      </w:r>
      <w:r>
        <w:rPr>
          <w:rFonts w:hint="eastAsia" w:ascii="仿宋" w:hAnsi="仿宋" w:eastAsia="仿宋"/>
          <w:sz w:val="32"/>
          <w:szCs w:val="32"/>
          <w:highlight w:val="none"/>
          <w:lang w:val="en-US" w:eastAsia="zh-CN"/>
        </w:rPr>
        <w:t>被我中心列入供应商黑名单的供应商。</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textAlignment w:val="auto"/>
        <w:rPr>
          <w:rFonts w:ascii="仿宋" w:hAnsi="仿宋" w:eastAsia="仿宋"/>
          <w:b/>
          <w:sz w:val="32"/>
          <w:szCs w:val="32"/>
          <w:highlight w:val="none"/>
        </w:rPr>
      </w:pPr>
      <w:r>
        <w:rPr>
          <w:rFonts w:hint="eastAsia" w:ascii="仿宋" w:hAnsi="仿宋" w:eastAsia="仿宋"/>
          <w:b/>
          <w:sz w:val="32"/>
          <w:szCs w:val="32"/>
          <w:highlight w:val="none"/>
          <w:lang w:val="en-US" w:eastAsia="zh-CN"/>
        </w:rPr>
        <w:t>四</w:t>
      </w:r>
      <w:r>
        <w:rPr>
          <w:rFonts w:hint="eastAsia" w:ascii="仿宋" w:hAnsi="仿宋" w:eastAsia="仿宋"/>
          <w:b/>
          <w:sz w:val="32"/>
          <w:szCs w:val="32"/>
          <w:highlight w:val="none"/>
        </w:rPr>
        <w:t>、报名时间、地点：</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仿宋_GB2312" w:hAnsi="宋体" w:eastAsia="仿宋_GB2312"/>
          <w:sz w:val="32"/>
          <w:szCs w:val="32"/>
          <w:highlight w:val="none"/>
        </w:rPr>
      </w:pPr>
      <w:r>
        <w:rPr>
          <w:rFonts w:hint="eastAsia" w:ascii="仿宋_GB2312" w:hAnsi="宋体" w:eastAsia="仿宋_GB2312"/>
          <w:sz w:val="32"/>
          <w:szCs w:val="32"/>
          <w:highlight w:val="none"/>
        </w:rPr>
        <w:t>自202</w:t>
      </w:r>
      <w:r>
        <w:rPr>
          <w:rFonts w:hint="eastAsia" w:ascii="仿宋_GB2312" w:hAnsi="宋体" w:eastAsia="仿宋_GB2312"/>
          <w:sz w:val="32"/>
          <w:szCs w:val="32"/>
          <w:highlight w:val="none"/>
          <w:lang w:val="en-US" w:eastAsia="zh-CN"/>
        </w:rPr>
        <w:t>5</w:t>
      </w:r>
      <w:r>
        <w:rPr>
          <w:rFonts w:hint="eastAsia" w:ascii="仿宋_GB2312" w:hAnsi="宋体" w:eastAsia="仿宋_GB2312"/>
          <w:sz w:val="32"/>
          <w:szCs w:val="32"/>
          <w:highlight w:val="none"/>
        </w:rPr>
        <w:t>年</w:t>
      </w:r>
      <w:r>
        <w:rPr>
          <w:rFonts w:hint="eastAsia" w:ascii="仿宋_GB2312" w:hAnsi="宋体" w:eastAsia="仿宋_GB2312"/>
          <w:sz w:val="32"/>
          <w:szCs w:val="32"/>
          <w:highlight w:val="none"/>
          <w:lang w:val="en-US" w:eastAsia="zh-CN"/>
        </w:rPr>
        <w:t>10</w:t>
      </w:r>
      <w:r>
        <w:rPr>
          <w:rFonts w:hint="eastAsia" w:ascii="仿宋_GB2312" w:hAnsi="宋体" w:eastAsia="仿宋_GB2312"/>
          <w:sz w:val="32"/>
          <w:szCs w:val="32"/>
          <w:highlight w:val="none"/>
        </w:rPr>
        <w:t>月</w:t>
      </w:r>
      <w:r>
        <w:rPr>
          <w:rFonts w:hint="eastAsia" w:ascii="仿宋_GB2312" w:hAnsi="宋体" w:eastAsia="仿宋_GB2312"/>
          <w:sz w:val="32"/>
          <w:szCs w:val="32"/>
          <w:highlight w:val="none"/>
          <w:lang w:val="en-US" w:eastAsia="zh-CN"/>
        </w:rPr>
        <w:t>14</w:t>
      </w:r>
      <w:r>
        <w:rPr>
          <w:rFonts w:hint="eastAsia" w:ascii="仿宋_GB2312" w:hAnsi="宋体" w:eastAsia="仿宋_GB2312"/>
          <w:sz w:val="32"/>
          <w:szCs w:val="32"/>
          <w:highlight w:val="none"/>
        </w:rPr>
        <w:t>日至202</w:t>
      </w:r>
      <w:r>
        <w:rPr>
          <w:rFonts w:hint="eastAsia" w:ascii="仿宋_GB2312" w:hAnsi="宋体" w:eastAsia="仿宋_GB2312"/>
          <w:sz w:val="32"/>
          <w:szCs w:val="32"/>
          <w:highlight w:val="none"/>
          <w:lang w:val="en-US" w:eastAsia="zh-CN"/>
        </w:rPr>
        <w:t>5</w:t>
      </w:r>
      <w:r>
        <w:rPr>
          <w:rFonts w:hint="eastAsia" w:ascii="仿宋_GB2312" w:hAnsi="宋体" w:eastAsia="仿宋_GB2312"/>
          <w:sz w:val="32"/>
          <w:szCs w:val="32"/>
          <w:highlight w:val="none"/>
        </w:rPr>
        <w:t>年</w:t>
      </w:r>
      <w:r>
        <w:rPr>
          <w:rFonts w:hint="eastAsia" w:ascii="仿宋_GB2312" w:hAnsi="宋体" w:eastAsia="仿宋_GB2312"/>
          <w:sz w:val="32"/>
          <w:szCs w:val="32"/>
          <w:highlight w:val="none"/>
          <w:lang w:val="en-US" w:eastAsia="zh-CN"/>
        </w:rPr>
        <w:t>10</w:t>
      </w:r>
      <w:r>
        <w:rPr>
          <w:rFonts w:hint="eastAsia" w:ascii="仿宋_GB2312" w:hAnsi="宋体" w:eastAsia="仿宋_GB2312"/>
          <w:sz w:val="32"/>
          <w:szCs w:val="32"/>
          <w:highlight w:val="none"/>
        </w:rPr>
        <w:t>月</w:t>
      </w:r>
      <w:r>
        <w:rPr>
          <w:rFonts w:hint="eastAsia" w:ascii="仿宋_GB2312" w:hAnsi="宋体" w:eastAsia="仿宋_GB2312"/>
          <w:sz w:val="32"/>
          <w:szCs w:val="32"/>
          <w:highlight w:val="none"/>
          <w:lang w:val="en-US" w:eastAsia="zh-CN"/>
        </w:rPr>
        <w:t>20</w:t>
      </w:r>
      <w:r>
        <w:rPr>
          <w:rFonts w:hint="eastAsia" w:ascii="仿宋_GB2312" w:hAnsi="宋体" w:eastAsia="仿宋_GB2312"/>
          <w:sz w:val="32"/>
          <w:szCs w:val="32"/>
          <w:highlight w:val="none"/>
        </w:rPr>
        <w:t>日上午8:30- 12:00下午14:30-17:00（北京时间，法定节假日除外）在四川省德阳市旌阳区华山南路二段461号</w:t>
      </w:r>
      <w:r>
        <w:rPr>
          <w:rFonts w:hint="eastAsia" w:ascii="仿宋_GB2312" w:hAnsi="宋体" w:eastAsia="仿宋_GB2312"/>
          <w:sz w:val="32"/>
          <w:szCs w:val="32"/>
          <w:highlight w:val="none"/>
          <w:lang w:val="en-US" w:eastAsia="zh-CN"/>
        </w:rPr>
        <w:t>行政办公楼203室</w:t>
      </w:r>
      <w:r>
        <w:rPr>
          <w:rFonts w:hint="eastAsia" w:ascii="仿宋_GB2312" w:hAnsi="宋体" w:eastAsia="仿宋_GB2312"/>
          <w:sz w:val="32"/>
          <w:szCs w:val="32"/>
          <w:highlight w:val="none"/>
        </w:rPr>
        <w:t>报名。经办人员</w:t>
      </w:r>
      <w:r>
        <w:rPr>
          <w:rFonts w:hint="eastAsia" w:ascii="仿宋_GB2312" w:hAnsi="宋体" w:eastAsia="仿宋_GB2312"/>
          <w:sz w:val="32"/>
          <w:szCs w:val="32"/>
          <w:highlight w:val="none"/>
          <w:lang w:val="en-US" w:eastAsia="zh-CN"/>
        </w:rPr>
        <w:t>现场或通过本公告电子邮箱</w:t>
      </w:r>
      <w:r>
        <w:rPr>
          <w:rFonts w:hint="eastAsia" w:ascii="仿宋_GB2312" w:hAnsi="宋体" w:eastAsia="仿宋_GB2312"/>
          <w:sz w:val="32"/>
          <w:szCs w:val="32"/>
          <w:highlight w:val="none"/>
        </w:rPr>
        <w:t>提交以下资料：</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1、供应商有效的营业执照副本、税务登记证、组织机构代码证副本复印件（若供应商已办理三证合一的，则只需提供有效的三证合一证书）；</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2、法定代表人授权书、法定代表人身份证复印件，授权代表身份证复印件(备注联系电话和邮箱)。</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ascii="仿宋_GB2312" w:eastAsia="仿宋_GB2312"/>
          <w:sz w:val="32"/>
          <w:szCs w:val="32"/>
          <w:highlight w:val="none"/>
        </w:rPr>
      </w:pPr>
      <w:r>
        <w:rPr>
          <w:rFonts w:ascii="仿宋_GB2312" w:eastAsia="仿宋_GB2312"/>
          <w:sz w:val="32"/>
          <w:szCs w:val="32"/>
          <w:highlight w:val="none"/>
        </w:rPr>
        <w:t>3</w:t>
      </w:r>
      <w:r>
        <w:rPr>
          <w:rFonts w:hint="eastAsia" w:ascii="仿宋_GB2312" w:eastAsia="仿宋_GB2312"/>
          <w:sz w:val="32"/>
          <w:szCs w:val="32"/>
          <w:highlight w:val="none"/>
        </w:rPr>
        <w:t>、供应商廉洁承诺书</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在公告附件下载</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ascii="仿宋_GB2312" w:eastAsia="仿宋_GB2312"/>
          <w:sz w:val="32"/>
          <w:szCs w:val="32"/>
          <w:highlight w:val="none"/>
        </w:rPr>
      </w:pPr>
      <w:r>
        <w:rPr>
          <w:rFonts w:hint="eastAsia" w:ascii="仿宋_GB2312" w:eastAsia="仿宋_GB2312"/>
          <w:sz w:val="32"/>
          <w:szCs w:val="32"/>
          <w:highlight w:val="none"/>
        </w:rPr>
        <w:t>注：上述报名所需资料均需加盖单位公章。</w:t>
      </w:r>
    </w:p>
    <w:p>
      <w:pPr>
        <w:keepNext w:val="0"/>
        <w:keepLines w:val="0"/>
        <w:pageBreakBefore w:val="0"/>
        <w:widowControl w:val="0"/>
        <w:kinsoku/>
        <w:wordWrap/>
        <w:overflowPunct/>
        <w:topLinePunct w:val="0"/>
        <w:autoSpaceDE/>
        <w:autoSpaceDN/>
        <w:bidi w:val="0"/>
        <w:adjustRightInd/>
        <w:snapToGrid/>
        <w:spacing w:line="580" w:lineRule="exact"/>
        <w:ind w:left="0"/>
        <w:jc w:val="left"/>
        <w:textAlignment w:val="auto"/>
        <w:rPr>
          <w:rFonts w:ascii="仿宋_GB2312" w:eastAsia="仿宋_GB2312"/>
          <w:sz w:val="32"/>
          <w:szCs w:val="32"/>
          <w:highlight w:val="none"/>
        </w:rPr>
      </w:pPr>
      <w:r>
        <w:rPr>
          <w:rFonts w:hint="eastAsia" w:ascii="仿宋_GB2312" w:eastAsia="仿宋_GB2312"/>
          <w:sz w:val="32"/>
          <w:szCs w:val="32"/>
          <w:highlight w:val="none"/>
        </w:rPr>
        <w:t xml:space="preserve">   </w:t>
      </w:r>
      <w:r>
        <w:rPr>
          <w:rFonts w:hint="eastAsia" w:ascii="仿宋_GB2312" w:hAnsi="宋体" w:eastAsia="仿宋_GB2312"/>
          <w:b/>
          <w:sz w:val="32"/>
          <w:szCs w:val="32"/>
          <w:highlight w:val="none"/>
          <w:lang w:val="en-US" w:eastAsia="zh-CN"/>
        </w:rPr>
        <w:t>五</w:t>
      </w:r>
      <w:r>
        <w:rPr>
          <w:rFonts w:hint="eastAsia" w:ascii="仿宋_GB2312" w:hAnsi="宋体" w:eastAsia="仿宋_GB2312"/>
          <w:b/>
          <w:sz w:val="32"/>
          <w:szCs w:val="32"/>
          <w:highlight w:val="none"/>
        </w:rPr>
        <w:t>、递交响应文件截止时间：</w:t>
      </w:r>
      <w:r>
        <w:rPr>
          <w:rFonts w:hint="eastAsia" w:ascii="仿宋_GB2312" w:hAnsi="宋体" w:eastAsia="仿宋_GB2312"/>
          <w:b/>
          <w:bCs/>
          <w:sz w:val="32"/>
          <w:szCs w:val="32"/>
          <w:highlight w:val="none"/>
        </w:rPr>
        <w:t>202</w:t>
      </w:r>
      <w:r>
        <w:rPr>
          <w:rFonts w:hint="eastAsia" w:ascii="仿宋_GB2312" w:hAnsi="宋体" w:eastAsia="仿宋_GB2312"/>
          <w:b/>
          <w:bCs/>
          <w:sz w:val="32"/>
          <w:szCs w:val="32"/>
          <w:highlight w:val="none"/>
          <w:lang w:val="en-US" w:eastAsia="zh-CN"/>
        </w:rPr>
        <w:t>5</w:t>
      </w:r>
      <w:r>
        <w:rPr>
          <w:rFonts w:hint="eastAsia" w:ascii="仿宋_GB2312" w:hAnsi="宋体" w:eastAsia="仿宋_GB2312"/>
          <w:b/>
          <w:bCs/>
          <w:sz w:val="32"/>
          <w:szCs w:val="32"/>
          <w:highlight w:val="none"/>
        </w:rPr>
        <w:t>年</w:t>
      </w:r>
      <w:r>
        <w:rPr>
          <w:rFonts w:hint="eastAsia" w:ascii="仿宋_GB2312" w:hAnsi="宋体" w:eastAsia="仿宋_GB2312"/>
          <w:b/>
          <w:bCs/>
          <w:sz w:val="32"/>
          <w:szCs w:val="32"/>
          <w:highlight w:val="none"/>
          <w:lang w:val="en-US" w:eastAsia="zh-CN"/>
        </w:rPr>
        <w:t>10</w:t>
      </w:r>
      <w:r>
        <w:rPr>
          <w:rFonts w:hint="eastAsia" w:ascii="仿宋_GB2312" w:hAnsi="宋体" w:eastAsia="仿宋_GB2312"/>
          <w:b/>
          <w:bCs/>
          <w:sz w:val="32"/>
          <w:szCs w:val="32"/>
          <w:highlight w:val="none"/>
        </w:rPr>
        <w:t>月</w:t>
      </w:r>
      <w:r>
        <w:rPr>
          <w:rFonts w:hint="eastAsia" w:ascii="仿宋_GB2312" w:hAnsi="宋体" w:eastAsia="仿宋_GB2312"/>
          <w:b/>
          <w:bCs/>
          <w:sz w:val="32"/>
          <w:szCs w:val="32"/>
          <w:highlight w:val="none"/>
          <w:lang w:val="en-US" w:eastAsia="zh-CN"/>
        </w:rPr>
        <w:t>23</w:t>
      </w:r>
      <w:r>
        <w:rPr>
          <w:rFonts w:hint="eastAsia" w:ascii="仿宋_GB2312" w:hAnsi="宋体" w:eastAsia="仿宋_GB2312"/>
          <w:b/>
          <w:bCs/>
          <w:sz w:val="32"/>
          <w:szCs w:val="32"/>
          <w:highlight w:val="none"/>
        </w:rPr>
        <w:t>日</w:t>
      </w:r>
      <w:r>
        <w:rPr>
          <w:rFonts w:hint="eastAsia" w:ascii="仿宋_GB2312" w:hAnsi="宋体" w:eastAsia="仿宋_GB2312"/>
          <w:b/>
          <w:bCs/>
          <w:sz w:val="32"/>
          <w:szCs w:val="32"/>
          <w:highlight w:val="none"/>
          <w:lang w:val="en-US" w:eastAsia="zh-CN"/>
        </w:rPr>
        <w:t>9</w:t>
      </w:r>
      <w:r>
        <w:rPr>
          <w:rFonts w:hint="eastAsia" w:ascii="仿宋_GB2312" w:hAnsi="宋体" w:eastAsia="仿宋_GB2312"/>
          <w:b/>
          <w:bCs/>
          <w:sz w:val="32"/>
          <w:szCs w:val="32"/>
          <w:highlight w:val="none"/>
        </w:rPr>
        <w:t>点</w:t>
      </w:r>
      <w:r>
        <w:rPr>
          <w:rFonts w:hint="eastAsia" w:ascii="仿宋_GB2312" w:hAnsi="宋体" w:eastAsia="仿宋_GB2312"/>
          <w:b/>
          <w:bCs/>
          <w:sz w:val="32"/>
          <w:szCs w:val="32"/>
          <w:highlight w:val="none"/>
          <w:lang w:val="en-US" w:eastAsia="zh-CN"/>
        </w:rPr>
        <w:t>00分</w:t>
      </w:r>
      <w:r>
        <w:rPr>
          <w:rFonts w:hint="eastAsia" w:ascii="仿宋_GB2312" w:hAnsi="宋体" w:eastAsia="仿宋_GB2312"/>
          <w:sz w:val="32"/>
          <w:szCs w:val="32"/>
          <w:highlight w:val="none"/>
        </w:rPr>
        <w:t>（北京时间）。</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textAlignment w:val="auto"/>
        <w:rPr>
          <w:rFonts w:hint="eastAsia" w:ascii="仿宋_GB2312" w:hAnsi="宋体" w:eastAsia="仿宋_GB2312"/>
          <w:b/>
          <w:sz w:val="32"/>
          <w:szCs w:val="32"/>
          <w:highlight w:val="none"/>
        </w:rPr>
      </w:pPr>
      <w:r>
        <w:rPr>
          <w:rFonts w:hint="eastAsia" w:ascii="仿宋_GB2312" w:hAnsi="宋体" w:eastAsia="仿宋_GB2312"/>
          <w:b/>
          <w:sz w:val="32"/>
          <w:szCs w:val="32"/>
          <w:highlight w:val="none"/>
          <w:lang w:val="en-US" w:eastAsia="zh-CN"/>
        </w:rPr>
        <w:t>六</w:t>
      </w:r>
      <w:r>
        <w:rPr>
          <w:rFonts w:hint="eastAsia" w:ascii="仿宋_GB2312" w:hAnsi="宋体" w:eastAsia="仿宋_GB2312"/>
          <w:b/>
          <w:sz w:val="32"/>
          <w:szCs w:val="32"/>
          <w:highlight w:val="none"/>
        </w:rPr>
        <w:t>、递交响应文件地点</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ascii="仿宋_GB2312" w:hAnsi="宋体" w:eastAsia="仿宋_GB2312"/>
          <w:sz w:val="32"/>
          <w:szCs w:val="32"/>
          <w:highlight w:val="none"/>
        </w:rPr>
      </w:pPr>
      <w:r>
        <w:rPr>
          <w:rFonts w:hint="eastAsia" w:ascii="仿宋_GB2312" w:hAnsi="宋体" w:eastAsia="仿宋_GB2312"/>
          <w:sz w:val="32"/>
          <w:szCs w:val="32"/>
          <w:highlight w:val="none"/>
        </w:rPr>
        <w:t>响应文件必须在递交响应文件截止时间前送达德阳市精神卫生中心</w:t>
      </w:r>
      <w:r>
        <w:rPr>
          <w:rFonts w:hint="eastAsia" w:ascii="仿宋_GB2312" w:hAnsi="宋体" w:eastAsia="仿宋_GB2312"/>
          <w:sz w:val="32"/>
          <w:szCs w:val="32"/>
          <w:highlight w:val="none"/>
          <w:lang w:val="en-US" w:eastAsia="zh-CN"/>
        </w:rPr>
        <w:t>行政办公</w:t>
      </w:r>
      <w:r>
        <w:rPr>
          <w:rFonts w:hint="eastAsia" w:ascii="仿宋_GB2312" w:hAnsi="宋体" w:eastAsia="仿宋_GB2312"/>
          <w:sz w:val="32"/>
          <w:szCs w:val="32"/>
          <w:highlight w:val="none"/>
        </w:rPr>
        <w:t>楼</w:t>
      </w:r>
      <w:r>
        <w:rPr>
          <w:rFonts w:hint="eastAsia" w:ascii="仿宋_GB2312" w:hAnsi="宋体" w:eastAsia="仿宋_GB2312"/>
          <w:sz w:val="32"/>
          <w:szCs w:val="32"/>
          <w:highlight w:val="none"/>
          <w:lang w:val="en-US" w:eastAsia="zh-CN"/>
        </w:rPr>
        <w:t>203室招采科</w:t>
      </w:r>
      <w:r>
        <w:rPr>
          <w:rFonts w:hint="eastAsia" w:ascii="仿宋_GB2312" w:hAnsi="宋体" w:eastAsia="仿宋_GB2312"/>
          <w:sz w:val="32"/>
          <w:szCs w:val="32"/>
          <w:highlight w:val="none"/>
        </w:rPr>
        <w:t>。逾期送达、密封和标注错误的响应文件，恕不接收。拟定开标时间</w:t>
      </w:r>
      <w:r>
        <w:rPr>
          <w:rFonts w:hint="eastAsia" w:ascii="仿宋_GB2312" w:hAnsi="宋体" w:eastAsia="仿宋_GB2312"/>
          <w:sz w:val="32"/>
          <w:szCs w:val="32"/>
          <w:highlight w:val="none"/>
          <w:lang w:val="en-US" w:eastAsia="zh-CN"/>
        </w:rPr>
        <w:t>10</w:t>
      </w:r>
      <w:r>
        <w:rPr>
          <w:rFonts w:hint="eastAsia" w:ascii="仿宋_GB2312" w:hAnsi="宋体" w:eastAsia="仿宋_GB2312"/>
          <w:sz w:val="32"/>
          <w:szCs w:val="32"/>
          <w:highlight w:val="none"/>
        </w:rPr>
        <w:t>月</w:t>
      </w:r>
      <w:r>
        <w:rPr>
          <w:rFonts w:hint="eastAsia" w:ascii="仿宋_GB2312" w:hAnsi="宋体" w:eastAsia="仿宋_GB2312"/>
          <w:sz w:val="32"/>
          <w:szCs w:val="32"/>
          <w:highlight w:val="none"/>
          <w:lang w:val="en-US" w:eastAsia="zh-CN"/>
        </w:rPr>
        <w:t>23</w:t>
      </w:r>
      <w:r>
        <w:rPr>
          <w:rFonts w:hint="eastAsia" w:ascii="仿宋_GB2312" w:hAnsi="宋体" w:eastAsia="仿宋_GB2312"/>
          <w:sz w:val="32"/>
          <w:szCs w:val="32"/>
          <w:highlight w:val="none"/>
        </w:rPr>
        <w:t>日</w:t>
      </w:r>
      <w:r>
        <w:rPr>
          <w:rFonts w:hint="eastAsia" w:ascii="仿宋_GB2312" w:hAnsi="宋体" w:eastAsia="仿宋_GB2312"/>
          <w:sz w:val="32"/>
          <w:szCs w:val="32"/>
          <w:highlight w:val="none"/>
          <w:lang w:val="en-US" w:eastAsia="zh-CN"/>
        </w:rPr>
        <w:t>9</w:t>
      </w:r>
      <w:r>
        <w:rPr>
          <w:rFonts w:hint="eastAsia" w:ascii="仿宋_GB2312" w:hAnsi="宋体" w:eastAsia="仿宋_GB2312"/>
          <w:sz w:val="32"/>
          <w:szCs w:val="32"/>
          <w:highlight w:val="none"/>
        </w:rPr>
        <w:t>:</w:t>
      </w:r>
      <w:r>
        <w:rPr>
          <w:rFonts w:hint="eastAsia" w:ascii="仿宋_GB2312" w:hAnsi="宋体" w:eastAsia="仿宋_GB2312"/>
          <w:sz w:val="32"/>
          <w:szCs w:val="32"/>
          <w:highlight w:val="none"/>
          <w:lang w:val="en-US" w:eastAsia="zh-CN"/>
        </w:rPr>
        <w:t>0</w:t>
      </w:r>
      <w:r>
        <w:rPr>
          <w:rFonts w:hint="eastAsia" w:ascii="仿宋_GB2312" w:hAnsi="宋体" w:eastAsia="仿宋_GB2312"/>
          <w:sz w:val="32"/>
          <w:szCs w:val="32"/>
          <w:highlight w:val="none"/>
        </w:rPr>
        <w:t>0，如因工作原因不能按时开标，具体开标时间根据实际情况另行通知。</w:t>
      </w:r>
    </w:p>
    <w:p>
      <w:pPr>
        <w:keepNext w:val="0"/>
        <w:keepLines w:val="0"/>
        <w:pageBreakBefore w:val="0"/>
        <w:widowControl w:val="0"/>
        <w:kinsoku/>
        <w:wordWrap/>
        <w:overflowPunct/>
        <w:topLinePunct w:val="0"/>
        <w:autoSpaceDE/>
        <w:autoSpaceDN/>
        <w:bidi w:val="0"/>
        <w:adjustRightInd/>
        <w:snapToGrid/>
        <w:spacing w:line="580" w:lineRule="exact"/>
        <w:ind w:left="0" w:firstLine="652" w:firstLineChars="203"/>
        <w:textAlignment w:val="auto"/>
        <w:rPr>
          <w:rFonts w:ascii="仿宋_GB2312" w:hAnsi="宋体" w:eastAsia="仿宋_GB2312"/>
          <w:sz w:val="32"/>
          <w:szCs w:val="32"/>
          <w:highlight w:val="none"/>
        </w:rPr>
      </w:pPr>
      <w:r>
        <w:rPr>
          <w:rFonts w:hint="eastAsia" w:ascii="仿宋_GB2312" w:hAnsi="宋体" w:eastAsia="仿宋_GB2312"/>
          <w:b/>
          <w:sz w:val="32"/>
          <w:szCs w:val="32"/>
          <w:highlight w:val="none"/>
          <w:lang w:val="en-US" w:eastAsia="zh-CN"/>
        </w:rPr>
        <w:t>七</w:t>
      </w:r>
      <w:r>
        <w:rPr>
          <w:rFonts w:hint="eastAsia" w:ascii="仿宋_GB2312" w:hAnsi="宋体" w:eastAsia="仿宋_GB2312"/>
          <w:b/>
          <w:sz w:val="32"/>
          <w:szCs w:val="32"/>
          <w:highlight w:val="none"/>
        </w:rPr>
        <w:t>、招标地点：</w:t>
      </w:r>
      <w:r>
        <w:rPr>
          <w:rFonts w:hint="eastAsia" w:ascii="仿宋_GB2312" w:hAnsi="宋体" w:eastAsia="仿宋_GB2312"/>
          <w:sz w:val="32"/>
          <w:szCs w:val="32"/>
          <w:highlight w:val="none"/>
        </w:rPr>
        <w:t>四川省德阳市华山南路二段461号。</w:t>
      </w:r>
    </w:p>
    <w:p>
      <w:pPr>
        <w:pStyle w:val="27"/>
        <w:keepNext w:val="0"/>
        <w:keepLines w:val="0"/>
        <w:pageBreakBefore w:val="0"/>
        <w:widowControl w:val="0"/>
        <w:kinsoku/>
        <w:wordWrap/>
        <w:overflowPunct/>
        <w:topLinePunct w:val="0"/>
        <w:autoSpaceDE/>
        <w:autoSpaceDN/>
        <w:bidi w:val="0"/>
        <w:adjustRightInd/>
        <w:snapToGrid/>
        <w:spacing w:line="580" w:lineRule="exact"/>
        <w:ind w:left="0" w:firstLine="643"/>
        <w:textAlignment w:val="auto"/>
        <w:rPr>
          <w:rFonts w:ascii="仿宋_GB2312" w:hAnsi="宋体" w:eastAsia="仿宋_GB2312"/>
          <w:b/>
          <w:sz w:val="32"/>
          <w:szCs w:val="32"/>
          <w:highlight w:val="none"/>
        </w:rPr>
      </w:pPr>
      <w:r>
        <w:rPr>
          <w:rFonts w:hint="eastAsia" w:ascii="仿宋_GB2312" w:hAnsi="宋体" w:eastAsia="仿宋_GB2312"/>
          <w:b/>
          <w:sz w:val="32"/>
          <w:szCs w:val="32"/>
          <w:highlight w:val="none"/>
          <w:lang w:val="en-US" w:eastAsia="zh-CN"/>
        </w:rPr>
        <w:t>八</w:t>
      </w:r>
      <w:r>
        <w:rPr>
          <w:rFonts w:hint="eastAsia" w:ascii="仿宋_GB2312" w:hAnsi="宋体" w:eastAsia="仿宋_GB2312"/>
          <w:b/>
          <w:sz w:val="32"/>
          <w:szCs w:val="32"/>
          <w:highlight w:val="none"/>
        </w:rPr>
        <w:t>、联系方式：</w:t>
      </w:r>
    </w:p>
    <w:p>
      <w:pPr>
        <w:pStyle w:val="27"/>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hAnsi="宋体" w:eastAsia="仿宋_GB2312"/>
          <w:bCs/>
          <w:sz w:val="32"/>
          <w:szCs w:val="32"/>
          <w:highlight w:val="none"/>
        </w:rPr>
      </w:pPr>
      <w:r>
        <w:rPr>
          <w:rFonts w:hint="eastAsia" w:ascii="仿宋_GB2312" w:hAnsi="宋体" w:eastAsia="仿宋_GB2312"/>
          <w:bCs/>
          <w:sz w:val="32"/>
          <w:szCs w:val="32"/>
          <w:highlight w:val="none"/>
        </w:rPr>
        <w:t>通讯地址：德阳市旌阳区华山南路二段461号</w:t>
      </w:r>
    </w:p>
    <w:p>
      <w:pPr>
        <w:pStyle w:val="27"/>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hAnsi="宋体" w:eastAsia="仿宋_GB2312"/>
          <w:sz w:val="32"/>
          <w:szCs w:val="32"/>
          <w:highlight w:val="none"/>
        </w:rPr>
      </w:pPr>
      <w:r>
        <w:rPr>
          <w:rFonts w:hint="eastAsia" w:ascii="仿宋_GB2312" w:hAnsi="宋体" w:eastAsia="仿宋_GB2312"/>
          <w:sz w:val="32"/>
          <w:szCs w:val="32"/>
          <w:highlight w:val="none"/>
          <w:lang w:val="en-US" w:eastAsia="zh-CN"/>
        </w:rPr>
        <w:t>采购文件</w:t>
      </w:r>
      <w:r>
        <w:rPr>
          <w:rFonts w:hint="eastAsia" w:ascii="仿宋_GB2312" w:hAnsi="宋体" w:eastAsia="仿宋_GB2312"/>
          <w:sz w:val="32"/>
          <w:szCs w:val="32"/>
          <w:highlight w:val="none"/>
        </w:rPr>
        <w:t>联系人：</w:t>
      </w:r>
      <w:r>
        <w:rPr>
          <w:rFonts w:hint="eastAsia" w:ascii="仿宋_GB2312" w:hAnsi="宋体" w:eastAsia="仿宋_GB2312"/>
          <w:sz w:val="32"/>
          <w:szCs w:val="32"/>
          <w:highlight w:val="none"/>
          <w:lang w:val="en-US" w:eastAsia="zh-CN"/>
        </w:rPr>
        <w:t>周老师</w:t>
      </w:r>
      <w:r>
        <w:rPr>
          <w:rFonts w:hint="eastAsia" w:ascii="仿宋_GB2312" w:hAnsi="宋体" w:eastAsia="仿宋_GB2312"/>
          <w:sz w:val="32"/>
          <w:szCs w:val="32"/>
          <w:highlight w:val="none"/>
        </w:rPr>
        <w:t xml:space="preserve">  联系电话：0838-2873178 </w:t>
      </w:r>
    </w:p>
    <w:p>
      <w:pPr>
        <w:pStyle w:val="27"/>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hAnsi="宋体" w:eastAsia="仿宋_GB2312"/>
          <w:sz w:val="32"/>
          <w:szCs w:val="32"/>
          <w:highlight w:val="none"/>
        </w:rPr>
      </w:pPr>
      <w:r>
        <w:rPr>
          <w:rFonts w:hint="eastAsia" w:ascii="仿宋_GB2312" w:hAnsi="宋体" w:eastAsia="仿宋_GB2312"/>
          <w:sz w:val="32"/>
          <w:szCs w:val="32"/>
          <w:highlight w:val="none"/>
        </w:rPr>
        <w:t>电子邮箱：51958604@qq.com</w:t>
      </w:r>
    </w:p>
    <w:p>
      <w:pPr>
        <w:pStyle w:val="27"/>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default"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 xml:space="preserve">    项目需求联系人：何老师  联系电话：0838-2871536</w:t>
      </w:r>
    </w:p>
    <w:p>
      <w:pPr>
        <w:pStyle w:val="28"/>
        <w:keepNext w:val="0"/>
        <w:keepLines w:val="0"/>
        <w:pageBreakBefore w:val="0"/>
        <w:widowControl w:val="0"/>
        <w:kinsoku/>
        <w:wordWrap/>
        <w:overflowPunct/>
        <w:topLinePunct w:val="0"/>
        <w:autoSpaceDE/>
        <w:autoSpaceDN/>
        <w:bidi w:val="0"/>
        <w:adjustRightInd/>
        <w:snapToGrid/>
        <w:spacing w:line="580" w:lineRule="exact"/>
        <w:ind w:left="0" w:firstLine="0" w:firstLineChars="0"/>
        <w:jc w:val="center"/>
        <w:textAlignment w:val="auto"/>
        <w:rPr>
          <w:rFonts w:hint="eastAsia" w:ascii="黑体" w:hAnsi="黑体" w:eastAsia="黑体"/>
          <w:sz w:val="36"/>
          <w:szCs w:val="36"/>
          <w:highlight w:val="none"/>
        </w:rPr>
      </w:pPr>
    </w:p>
    <w:p>
      <w:pPr>
        <w:pStyle w:val="28"/>
        <w:keepNext w:val="0"/>
        <w:keepLines w:val="0"/>
        <w:pageBreakBefore w:val="0"/>
        <w:widowControl w:val="0"/>
        <w:kinsoku/>
        <w:wordWrap/>
        <w:overflowPunct/>
        <w:topLinePunct w:val="0"/>
        <w:autoSpaceDE/>
        <w:autoSpaceDN/>
        <w:bidi w:val="0"/>
        <w:adjustRightInd/>
        <w:snapToGrid/>
        <w:spacing w:line="580" w:lineRule="exact"/>
        <w:ind w:left="0" w:firstLine="0" w:firstLineChars="0"/>
        <w:jc w:val="center"/>
        <w:textAlignment w:val="auto"/>
        <w:rPr>
          <w:rFonts w:hint="eastAsia" w:ascii="仿宋_GB2312" w:hAnsi="宋体" w:eastAsia="仿宋_GB2312" w:cs="Times New Roman"/>
          <w:bCs/>
          <w:kern w:val="2"/>
          <w:sz w:val="32"/>
          <w:szCs w:val="32"/>
          <w:highlight w:val="none"/>
          <w:lang w:val="en-US" w:eastAsia="zh-CN" w:bidi="ar-SA"/>
        </w:rPr>
      </w:pPr>
      <w:r>
        <w:rPr>
          <w:rFonts w:hint="eastAsia" w:ascii="仿宋_GB2312" w:hAnsi="宋体" w:eastAsia="仿宋_GB2312" w:cs="Times New Roman"/>
          <w:bCs/>
          <w:kern w:val="2"/>
          <w:sz w:val="32"/>
          <w:szCs w:val="32"/>
          <w:highlight w:val="none"/>
          <w:lang w:val="en-US" w:eastAsia="zh-CN" w:bidi="ar-SA"/>
        </w:rPr>
        <w:t xml:space="preserve">         德阳市精神卫生中心</w:t>
      </w:r>
    </w:p>
    <w:p>
      <w:pPr>
        <w:pStyle w:val="28"/>
        <w:keepNext w:val="0"/>
        <w:keepLines w:val="0"/>
        <w:pageBreakBefore w:val="0"/>
        <w:widowControl w:val="0"/>
        <w:kinsoku/>
        <w:wordWrap/>
        <w:overflowPunct/>
        <w:topLinePunct w:val="0"/>
        <w:autoSpaceDE/>
        <w:autoSpaceDN/>
        <w:bidi w:val="0"/>
        <w:adjustRightInd/>
        <w:snapToGrid/>
        <w:spacing w:line="580" w:lineRule="exact"/>
        <w:ind w:left="0" w:firstLine="0" w:firstLineChars="0"/>
        <w:jc w:val="center"/>
        <w:textAlignment w:val="auto"/>
        <w:rPr>
          <w:rFonts w:hint="eastAsia" w:ascii="黑体" w:hAnsi="黑体" w:eastAsia="黑体"/>
          <w:sz w:val="36"/>
          <w:szCs w:val="36"/>
          <w:highlight w:val="none"/>
        </w:rPr>
      </w:pPr>
      <w:r>
        <w:rPr>
          <w:rFonts w:hint="eastAsia" w:ascii="仿宋_GB2312" w:hAnsi="宋体" w:eastAsia="仿宋_GB2312" w:cs="Times New Roman"/>
          <w:bCs/>
          <w:kern w:val="2"/>
          <w:sz w:val="32"/>
          <w:szCs w:val="32"/>
          <w:highlight w:val="none"/>
          <w:lang w:val="en-US" w:eastAsia="zh-CN" w:bidi="ar-SA"/>
        </w:rPr>
        <w:t xml:space="preserve">       2025年10月</w:t>
      </w:r>
      <w:bookmarkStart w:id="3" w:name="_Toc22648"/>
    </w:p>
    <w:p>
      <w:pPr>
        <w:pStyle w:val="2"/>
        <w:bidi w:val="0"/>
        <w:jc w:val="center"/>
        <w:rPr>
          <w:rFonts w:hint="eastAsia"/>
          <w:highlight w:val="none"/>
          <w:lang w:val="en-US" w:eastAsia="zh-CN"/>
        </w:rPr>
      </w:pPr>
    </w:p>
    <w:p>
      <w:pPr>
        <w:pStyle w:val="2"/>
        <w:bidi w:val="0"/>
        <w:jc w:val="center"/>
        <w:rPr>
          <w:rFonts w:hint="eastAsia"/>
          <w:highlight w:val="none"/>
          <w:lang w:val="en-US" w:eastAsia="zh-CN"/>
        </w:rPr>
      </w:pPr>
    </w:p>
    <w:p>
      <w:pPr>
        <w:pStyle w:val="2"/>
        <w:bidi w:val="0"/>
        <w:jc w:val="center"/>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bidi w:val="0"/>
        <w:rPr>
          <w:rFonts w:hint="eastAsia"/>
          <w:highlight w:val="none"/>
          <w:lang w:val="en-US" w:eastAsia="zh-CN"/>
        </w:rPr>
      </w:pPr>
    </w:p>
    <w:p>
      <w:pPr>
        <w:bidi w:val="0"/>
        <w:jc w:val="center"/>
        <w:rPr>
          <w:rFonts w:hint="eastAsia" w:ascii="宋体" w:hAnsi="宋体" w:eastAsia="宋体" w:cs="宋体"/>
          <w:b/>
          <w:bCs/>
          <w:sz w:val="36"/>
          <w:szCs w:val="36"/>
          <w:highlight w:val="none"/>
          <w:lang w:val="en-US" w:eastAsia="zh-CN"/>
        </w:rPr>
      </w:pPr>
    </w:p>
    <w:p>
      <w:pPr>
        <w:bidi w:val="0"/>
        <w:jc w:val="both"/>
        <w:rPr>
          <w:rFonts w:hint="eastAsia" w:ascii="宋体" w:hAnsi="宋体" w:eastAsia="宋体" w:cs="宋体"/>
          <w:b/>
          <w:bCs/>
          <w:sz w:val="36"/>
          <w:szCs w:val="36"/>
          <w:highlight w:val="none"/>
          <w:lang w:val="en-US" w:eastAsia="zh-CN"/>
        </w:rPr>
      </w:pPr>
    </w:p>
    <w:p>
      <w:pPr>
        <w:bidi w:val="0"/>
        <w:jc w:val="center"/>
        <w:rPr>
          <w:rFonts w:hint="eastAsia" w:ascii="宋体" w:hAnsi="宋体" w:eastAsia="宋体" w:cs="宋体"/>
          <w:b/>
          <w:bCs/>
          <w:sz w:val="36"/>
          <w:szCs w:val="36"/>
          <w:highlight w:val="none"/>
          <w:lang w:val="en-US" w:eastAsia="zh-CN"/>
        </w:rPr>
      </w:pPr>
      <w:r>
        <w:rPr>
          <w:rFonts w:hint="eastAsia" w:ascii="宋体" w:hAnsi="宋体" w:eastAsia="宋体" w:cs="宋体"/>
          <w:b/>
          <w:bCs/>
          <w:sz w:val="36"/>
          <w:szCs w:val="36"/>
          <w:highlight w:val="none"/>
          <w:lang w:val="en-US" w:eastAsia="zh-CN"/>
        </w:rPr>
        <w:t>第二章  谈判须知</w:t>
      </w:r>
      <w:bookmarkEnd w:id="3"/>
    </w:p>
    <w:tbl>
      <w:tblPr>
        <w:tblStyle w:val="18"/>
        <w:tblW w:w="9220" w:type="dxa"/>
        <w:tblInd w:w="-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1785"/>
        <w:gridCol w:w="6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005" w:type="dxa"/>
            <w:shd w:val="clear" w:color="auto" w:fill="auto"/>
            <w:vAlign w:val="center"/>
          </w:tcPr>
          <w:p>
            <w:pPr>
              <w:pStyle w:val="29"/>
              <w:keepNext w:val="0"/>
              <w:keepLines w:val="0"/>
              <w:pageBreakBefore w:val="0"/>
              <w:widowControl w:val="0"/>
              <w:kinsoku/>
              <w:wordWrap/>
              <w:overflowPunct/>
              <w:topLinePunct w:val="0"/>
              <w:bidi w:val="0"/>
              <w:spacing w:line="594" w:lineRule="exact"/>
              <w:ind w:left="9"/>
              <w:jc w:val="center"/>
              <w:rPr>
                <w:rFonts w:ascii="仿宋_GB2312" w:eastAsia="仿宋_GB2312"/>
                <w:sz w:val="32"/>
                <w:szCs w:val="32"/>
                <w:highlight w:val="none"/>
                <w:lang w:val="zh-CN"/>
              </w:rPr>
            </w:pPr>
            <w:r>
              <w:rPr>
                <w:rFonts w:hint="eastAsia" w:ascii="仿宋_GB2312" w:eastAsia="仿宋_GB2312"/>
                <w:sz w:val="32"/>
                <w:szCs w:val="32"/>
                <w:highlight w:val="none"/>
                <w:lang w:val="zh-CN"/>
              </w:rPr>
              <w:t xml:space="preserve">序号 </w:t>
            </w:r>
          </w:p>
        </w:tc>
        <w:tc>
          <w:tcPr>
            <w:tcW w:w="1785" w:type="dxa"/>
            <w:shd w:val="clear" w:color="auto" w:fill="auto"/>
            <w:vAlign w:val="center"/>
          </w:tcPr>
          <w:p>
            <w:pPr>
              <w:pStyle w:val="29"/>
              <w:keepNext w:val="0"/>
              <w:keepLines w:val="0"/>
              <w:pageBreakBefore w:val="0"/>
              <w:widowControl w:val="0"/>
              <w:kinsoku/>
              <w:wordWrap/>
              <w:overflowPunct/>
              <w:topLinePunct w:val="0"/>
              <w:bidi w:val="0"/>
              <w:spacing w:line="594" w:lineRule="exact"/>
              <w:ind w:left="38"/>
              <w:jc w:val="center"/>
              <w:rPr>
                <w:rFonts w:ascii="仿宋_GB2312" w:eastAsia="仿宋_GB2312"/>
                <w:sz w:val="32"/>
                <w:szCs w:val="32"/>
                <w:highlight w:val="none"/>
                <w:lang w:val="zh-CN"/>
              </w:rPr>
            </w:pPr>
            <w:r>
              <w:rPr>
                <w:rFonts w:hint="eastAsia" w:ascii="仿宋_GB2312" w:eastAsia="仿宋_GB2312"/>
                <w:sz w:val="32"/>
                <w:szCs w:val="32"/>
                <w:highlight w:val="none"/>
                <w:lang w:val="zh-CN"/>
              </w:rPr>
              <w:t xml:space="preserve">应知事项 </w:t>
            </w:r>
          </w:p>
        </w:tc>
        <w:tc>
          <w:tcPr>
            <w:tcW w:w="6430" w:type="dxa"/>
            <w:shd w:val="clear" w:color="auto" w:fill="auto"/>
            <w:vAlign w:val="center"/>
          </w:tcPr>
          <w:p>
            <w:pPr>
              <w:pStyle w:val="29"/>
              <w:keepNext w:val="0"/>
              <w:keepLines w:val="0"/>
              <w:pageBreakBefore w:val="0"/>
              <w:widowControl w:val="0"/>
              <w:kinsoku/>
              <w:wordWrap/>
              <w:overflowPunct/>
              <w:topLinePunct w:val="0"/>
              <w:bidi w:val="0"/>
              <w:spacing w:line="594" w:lineRule="exact"/>
              <w:jc w:val="center"/>
              <w:rPr>
                <w:rFonts w:ascii="仿宋_GB2312" w:eastAsia="仿宋_GB2312"/>
                <w:sz w:val="32"/>
                <w:szCs w:val="32"/>
                <w:highlight w:val="none"/>
                <w:lang w:val="zh-CN"/>
              </w:rPr>
            </w:pPr>
            <w:r>
              <w:rPr>
                <w:rFonts w:hint="eastAsia" w:ascii="仿宋_GB2312" w:eastAsia="仿宋_GB2312"/>
                <w:sz w:val="32"/>
                <w:szCs w:val="32"/>
                <w:highlight w:val="none"/>
                <w:lang w:val="zh-CN"/>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shd w:val="clear" w:color="auto" w:fill="auto"/>
            <w:vAlign w:val="center"/>
          </w:tcPr>
          <w:p>
            <w:pPr>
              <w:keepNext w:val="0"/>
              <w:keepLines w:val="0"/>
              <w:pageBreakBefore w:val="0"/>
              <w:widowControl w:val="0"/>
              <w:kinsoku/>
              <w:wordWrap/>
              <w:overflowPunct/>
              <w:topLinePunct w:val="0"/>
              <w:bidi w:val="0"/>
              <w:spacing w:line="594" w:lineRule="exact"/>
              <w:ind w:right="230"/>
              <w:jc w:val="center"/>
              <w:rPr>
                <w:rFonts w:ascii="仿宋_GB2312" w:hAnsi="宋体" w:eastAsia="仿宋_GB2312" w:cs="Courier New"/>
                <w:sz w:val="32"/>
                <w:szCs w:val="32"/>
                <w:highlight w:val="none"/>
                <w:lang w:val="zh-CN"/>
              </w:rPr>
            </w:pPr>
            <w:r>
              <w:rPr>
                <w:rFonts w:hint="eastAsia" w:ascii="仿宋_GB2312" w:hAnsi="宋体" w:eastAsia="仿宋_GB2312" w:cs="Courier New"/>
                <w:sz w:val="32"/>
                <w:szCs w:val="32"/>
                <w:highlight w:val="none"/>
                <w:lang w:val="zh-CN"/>
              </w:rPr>
              <w:t>1</w:t>
            </w:r>
          </w:p>
        </w:tc>
        <w:tc>
          <w:tcPr>
            <w:tcW w:w="1785" w:type="dxa"/>
            <w:shd w:val="clear" w:color="auto" w:fill="auto"/>
            <w:vAlign w:val="center"/>
          </w:tcPr>
          <w:p>
            <w:pPr>
              <w:keepNext w:val="0"/>
              <w:keepLines w:val="0"/>
              <w:pageBreakBefore w:val="0"/>
              <w:widowControl w:val="0"/>
              <w:kinsoku/>
              <w:wordWrap/>
              <w:overflowPunct/>
              <w:topLinePunct w:val="0"/>
              <w:bidi w:val="0"/>
              <w:spacing w:line="594" w:lineRule="exact"/>
              <w:ind w:left="38"/>
              <w:jc w:val="center"/>
              <w:rPr>
                <w:rFonts w:ascii="仿宋_GB2312" w:hAnsi="宋体" w:eastAsia="仿宋_GB2312"/>
                <w:sz w:val="32"/>
                <w:szCs w:val="32"/>
                <w:highlight w:val="none"/>
                <w:lang w:val="zh-CN"/>
              </w:rPr>
            </w:pPr>
            <w:r>
              <w:rPr>
                <w:rFonts w:hint="eastAsia" w:ascii="仿宋_GB2312" w:hAnsi="宋体" w:eastAsia="仿宋_GB2312"/>
                <w:sz w:val="32"/>
                <w:szCs w:val="32"/>
                <w:highlight w:val="none"/>
                <w:lang w:val="zh-CN"/>
              </w:rPr>
              <w:t>确定邀请谈判的供应商数量和方式</w:t>
            </w:r>
          </w:p>
        </w:tc>
        <w:tc>
          <w:tcPr>
            <w:tcW w:w="6430" w:type="dxa"/>
            <w:shd w:val="clear" w:color="auto" w:fill="auto"/>
            <w:vAlign w:val="center"/>
          </w:tcPr>
          <w:p>
            <w:pPr>
              <w:pStyle w:val="29"/>
              <w:keepNext w:val="0"/>
              <w:keepLines w:val="0"/>
              <w:pageBreakBefore w:val="0"/>
              <w:widowControl w:val="0"/>
              <w:kinsoku/>
              <w:wordWrap/>
              <w:overflowPunct/>
              <w:topLinePunct w:val="0"/>
              <w:bidi w:val="0"/>
              <w:spacing w:line="594" w:lineRule="exact"/>
              <w:ind w:firstLine="320" w:firstLineChars="100"/>
              <w:jc w:val="both"/>
              <w:rPr>
                <w:rFonts w:ascii="仿宋_GB2312" w:eastAsia="仿宋_GB2312"/>
                <w:sz w:val="32"/>
                <w:szCs w:val="32"/>
                <w:highlight w:val="none"/>
                <w:lang w:val="zh-CN"/>
              </w:rPr>
            </w:pPr>
            <w:r>
              <w:rPr>
                <w:rFonts w:hint="eastAsia" w:ascii="仿宋_GB2312" w:eastAsia="仿宋_GB2312"/>
                <w:sz w:val="32"/>
                <w:szCs w:val="32"/>
                <w:highlight w:val="none"/>
                <w:lang w:val="zh-CN"/>
              </w:rPr>
              <w:t>本次谈判邀请的供应商数量：</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lang w:val="zh-CN"/>
              </w:rPr>
              <w:t>家及以上。</w:t>
            </w:r>
          </w:p>
          <w:p>
            <w:pPr>
              <w:keepNext w:val="0"/>
              <w:keepLines w:val="0"/>
              <w:pageBreakBefore w:val="0"/>
              <w:widowControl w:val="0"/>
              <w:kinsoku/>
              <w:wordWrap/>
              <w:overflowPunct/>
              <w:topLinePunct w:val="0"/>
              <w:bidi w:val="0"/>
              <w:spacing w:line="594" w:lineRule="exact"/>
              <w:ind w:firstLine="320" w:firstLineChars="100"/>
              <w:rPr>
                <w:rFonts w:ascii="仿宋_GB2312" w:hAnsi="宋体" w:eastAsia="仿宋_GB2312"/>
                <w:sz w:val="32"/>
                <w:szCs w:val="32"/>
                <w:highlight w:val="none"/>
                <w:lang w:val="zh-CN"/>
              </w:rPr>
            </w:pPr>
            <w:r>
              <w:rPr>
                <w:rFonts w:hint="eastAsia" w:ascii="仿宋_GB2312" w:hAnsi="宋体" w:eastAsia="仿宋_GB2312"/>
                <w:sz w:val="32"/>
                <w:szCs w:val="32"/>
                <w:highlight w:val="none"/>
                <w:lang w:val="zh-CN"/>
              </w:rPr>
              <w:t>谈判</w:t>
            </w:r>
            <w:r>
              <w:rPr>
                <w:rFonts w:hint="eastAsia" w:ascii="仿宋_GB2312" w:hAnsi="宋体" w:eastAsia="仿宋_GB2312"/>
                <w:sz w:val="32"/>
                <w:szCs w:val="32"/>
                <w:highlight w:val="none"/>
                <w:lang w:val="en-US" w:eastAsia="zh-CN"/>
              </w:rPr>
              <w:t>方</w:t>
            </w:r>
            <w:r>
              <w:rPr>
                <w:rFonts w:hint="eastAsia" w:ascii="仿宋_GB2312" w:hAnsi="宋体" w:eastAsia="仿宋_GB2312"/>
                <w:sz w:val="32"/>
                <w:szCs w:val="32"/>
                <w:highlight w:val="none"/>
                <w:lang w:val="zh-CN"/>
              </w:rPr>
              <w:t>法：符合采购需求、质量和服务相等，报价最低的原则确定成交供应商。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shd w:val="clear" w:color="auto" w:fill="auto"/>
            <w:vAlign w:val="center"/>
          </w:tcPr>
          <w:p>
            <w:pPr>
              <w:pStyle w:val="29"/>
              <w:keepNext w:val="0"/>
              <w:keepLines w:val="0"/>
              <w:pageBreakBefore w:val="0"/>
              <w:widowControl w:val="0"/>
              <w:kinsoku/>
              <w:wordWrap/>
              <w:overflowPunct/>
              <w:topLinePunct w:val="0"/>
              <w:bidi w:val="0"/>
              <w:spacing w:line="594" w:lineRule="exact"/>
              <w:ind w:right="230"/>
              <w:jc w:val="center"/>
              <w:rPr>
                <w:rFonts w:ascii="仿宋_GB2312" w:eastAsia="仿宋_GB2312" w:cs="Courier New"/>
                <w:sz w:val="32"/>
                <w:szCs w:val="32"/>
                <w:highlight w:val="none"/>
                <w:lang w:val="zh-CN"/>
              </w:rPr>
            </w:pPr>
            <w:r>
              <w:rPr>
                <w:rFonts w:hint="eastAsia" w:ascii="仿宋_GB2312" w:eastAsia="仿宋_GB2312" w:cs="Courier New"/>
                <w:sz w:val="32"/>
                <w:szCs w:val="32"/>
                <w:highlight w:val="none"/>
                <w:lang w:val="zh-CN"/>
              </w:rPr>
              <w:t>2</w:t>
            </w:r>
          </w:p>
        </w:tc>
        <w:tc>
          <w:tcPr>
            <w:tcW w:w="1785" w:type="dxa"/>
            <w:shd w:val="clear" w:color="auto" w:fill="auto"/>
            <w:vAlign w:val="center"/>
          </w:tcPr>
          <w:p>
            <w:pPr>
              <w:pStyle w:val="29"/>
              <w:keepNext w:val="0"/>
              <w:keepLines w:val="0"/>
              <w:pageBreakBefore w:val="0"/>
              <w:widowControl w:val="0"/>
              <w:kinsoku/>
              <w:wordWrap/>
              <w:overflowPunct/>
              <w:topLinePunct w:val="0"/>
              <w:bidi w:val="0"/>
              <w:spacing w:line="594" w:lineRule="exact"/>
              <w:ind w:left="38"/>
              <w:jc w:val="center"/>
              <w:rPr>
                <w:rFonts w:ascii="仿宋_GB2312" w:eastAsia="仿宋_GB2312"/>
                <w:sz w:val="32"/>
                <w:szCs w:val="32"/>
                <w:highlight w:val="none"/>
                <w:lang w:val="zh-CN"/>
              </w:rPr>
            </w:pPr>
            <w:r>
              <w:rPr>
                <w:rFonts w:hint="eastAsia" w:ascii="仿宋_GB2312" w:eastAsia="仿宋_GB2312"/>
                <w:sz w:val="32"/>
                <w:szCs w:val="32"/>
                <w:highlight w:val="none"/>
                <w:lang w:val="zh-CN"/>
              </w:rPr>
              <w:t>联合体</w:t>
            </w:r>
          </w:p>
        </w:tc>
        <w:tc>
          <w:tcPr>
            <w:tcW w:w="6430" w:type="dxa"/>
            <w:shd w:val="clear" w:color="auto" w:fill="auto"/>
            <w:vAlign w:val="center"/>
          </w:tcPr>
          <w:p>
            <w:pPr>
              <w:pStyle w:val="29"/>
              <w:keepNext w:val="0"/>
              <w:keepLines w:val="0"/>
              <w:pageBreakBefore w:val="0"/>
              <w:widowControl w:val="0"/>
              <w:kinsoku/>
              <w:wordWrap/>
              <w:overflowPunct/>
              <w:topLinePunct w:val="0"/>
              <w:bidi w:val="0"/>
              <w:spacing w:line="594" w:lineRule="exact"/>
              <w:ind w:firstLine="320" w:firstLineChars="100"/>
              <w:jc w:val="both"/>
              <w:rPr>
                <w:rFonts w:ascii="仿宋_GB2312" w:eastAsia="仿宋_GB2312"/>
                <w:sz w:val="32"/>
                <w:szCs w:val="32"/>
                <w:highlight w:val="none"/>
                <w:lang w:val="zh-CN"/>
              </w:rPr>
            </w:pPr>
            <w:r>
              <w:rPr>
                <w:rFonts w:hint="eastAsia" w:ascii="仿宋_GB2312" w:eastAsia="仿宋_GB2312"/>
                <w:sz w:val="32"/>
                <w:szCs w:val="32"/>
                <w:highlight w:val="none"/>
                <w:lang w:val="en-US" w:eastAsia="zh-CN"/>
              </w:rPr>
              <w:t>不</w:t>
            </w:r>
            <w:r>
              <w:rPr>
                <w:rFonts w:hint="eastAsia" w:ascii="仿宋_GB2312" w:eastAsia="仿宋_GB2312"/>
                <w:sz w:val="32"/>
                <w:szCs w:val="32"/>
                <w:highlight w:val="none"/>
                <w:lang w:val="zh-CN"/>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shd w:val="clear" w:color="auto" w:fill="auto"/>
            <w:vAlign w:val="center"/>
          </w:tcPr>
          <w:p>
            <w:pPr>
              <w:pStyle w:val="29"/>
              <w:keepNext w:val="0"/>
              <w:keepLines w:val="0"/>
              <w:pageBreakBefore w:val="0"/>
              <w:widowControl w:val="0"/>
              <w:kinsoku/>
              <w:wordWrap/>
              <w:overflowPunct/>
              <w:topLinePunct w:val="0"/>
              <w:bidi w:val="0"/>
              <w:spacing w:line="594" w:lineRule="exact"/>
              <w:ind w:right="230"/>
              <w:jc w:val="center"/>
              <w:rPr>
                <w:rFonts w:ascii="仿宋_GB2312" w:eastAsia="仿宋_GB2312" w:cs="Courier New"/>
                <w:sz w:val="32"/>
                <w:szCs w:val="32"/>
                <w:highlight w:val="none"/>
                <w:lang w:val="zh-CN"/>
              </w:rPr>
            </w:pPr>
            <w:r>
              <w:rPr>
                <w:rFonts w:hint="eastAsia" w:ascii="仿宋_GB2312" w:eastAsia="仿宋_GB2312" w:cs="Courier New"/>
                <w:sz w:val="32"/>
                <w:szCs w:val="32"/>
                <w:highlight w:val="none"/>
                <w:lang w:val="zh-CN"/>
              </w:rPr>
              <w:t>3</w:t>
            </w:r>
          </w:p>
        </w:tc>
        <w:tc>
          <w:tcPr>
            <w:tcW w:w="1785" w:type="dxa"/>
            <w:shd w:val="clear" w:color="auto" w:fill="auto"/>
            <w:vAlign w:val="center"/>
          </w:tcPr>
          <w:p>
            <w:pPr>
              <w:pStyle w:val="29"/>
              <w:keepNext w:val="0"/>
              <w:keepLines w:val="0"/>
              <w:pageBreakBefore w:val="0"/>
              <w:widowControl w:val="0"/>
              <w:kinsoku/>
              <w:wordWrap/>
              <w:overflowPunct/>
              <w:topLinePunct w:val="0"/>
              <w:bidi w:val="0"/>
              <w:spacing w:line="594" w:lineRule="exact"/>
              <w:ind w:left="38"/>
              <w:jc w:val="center"/>
              <w:rPr>
                <w:rFonts w:ascii="仿宋_GB2312" w:eastAsia="仿宋_GB2312"/>
                <w:sz w:val="32"/>
                <w:szCs w:val="32"/>
                <w:highlight w:val="none"/>
                <w:lang w:val="zh-CN"/>
              </w:rPr>
            </w:pPr>
            <w:r>
              <w:rPr>
                <w:rFonts w:hint="eastAsia" w:ascii="仿宋_GB2312" w:eastAsia="仿宋_GB2312"/>
                <w:sz w:val="32"/>
                <w:szCs w:val="32"/>
                <w:highlight w:val="none"/>
                <w:lang w:val="zh-CN"/>
              </w:rPr>
              <w:t>小微企业（监狱企业、残疾人福利单位视同小微企业）价格扣除</w:t>
            </w:r>
          </w:p>
        </w:tc>
        <w:tc>
          <w:tcPr>
            <w:tcW w:w="6430" w:type="dxa"/>
            <w:shd w:val="clear" w:color="auto" w:fill="auto"/>
          </w:tcPr>
          <w:p>
            <w:pPr>
              <w:keepNext w:val="0"/>
              <w:keepLines w:val="0"/>
              <w:pageBreakBefore w:val="0"/>
              <w:widowControl w:val="0"/>
              <w:kinsoku/>
              <w:wordWrap/>
              <w:overflowPunct/>
              <w:topLinePunct w:val="0"/>
              <w:bidi w:val="0"/>
              <w:spacing w:line="594" w:lineRule="exact"/>
              <w:ind w:left="105" w:leftChars="50" w:right="105" w:rightChars="50" w:firstLine="320" w:firstLineChars="100"/>
              <w:rPr>
                <w:rFonts w:ascii="仿宋_GB2312" w:hAnsi="宋体" w:eastAsia="仿宋_GB2312"/>
                <w:sz w:val="32"/>
                <w:szCs w:val="32"/>
                <w:highlight w:val="none"/>
              </w:rPr>
            </w:pPr>
            <w:r>
              <w:rPr>
                <w:rFonts w:hint="eastAsia" w:ascii="仿宋_GB2312" w:hAnsi="宋体" w:eastAsia="仿宋_GB2312"/>
                <w:sz w:val="32"/>
                <w:szCs w:val="32"/>
                <w:highlight w:val="none"/>
              </w:rPr>
              <w:t>一、小微企业（监狱企业、残疾人福利单位视同小微企业）价格扣除</w:t>
            </w:r>
          </w:p>
          <w:p>
            <w:pPr>
              <w:pStyle w:val="6"/>
              <w:keepNext w:val="0"/>
              <w:keepLines w:val="0"/>
              <w:pageBreakBefore w:val="0"/>
              <w:widowControl w:val="0"/>
              <w:kinsoku/>
              <w:wordWrap/>
              <w:overflowPunct/>
              <w:topLinePunct w:val="0"/>
              <w:bidi w:val="0"/>
              <w:rPr>
                <w:rFonts w:ascii="仿宋_GB2312" w:hAnsi="宋体" w:eastAsia="仿宋_GB2312"/>
                <w:sz w:val="32"/>
                <w:szCs w:val="32"/>
                <w:highlight w:val="none"/>
              </w:rPr>
            </w:pPr>
            <w:r>
              <w:rPr>
                <w:rFonts w:hint="eastAsia" w:ascii="仿宋_GB2312" w:hAnsi="宋体" w:eastAsia="仿宋_GB2312"/>
                <w:sz w:val="32"/>
                <w:szCs w:val="32"/>
                <w:highlight w:val="none"/>
              </w:rPr>
              <w:t>1.参考《政府采购促进中小企业发展管理办法》（财库[2020]46号）的规定，对小型和微型企业产品的价格给予1</w:t>
            </w:r>
            <w:r>
              <w:rPr>
                <w:rFonts w:ascii="仿宋_GB2312" w:hAnsi="宋体" w:eastAsia="仿宋_GB2312"/>
                <w:sz w:val="32"/>
                <w:szCs w:val="32"/>
                <w:highlight w:val="none"/>
              </w:rPr>
              <w:t>0</w:t>
            </w:r>
            <w:r>
              <w:rPr>
                <w:rFonts w:hint="eastAsia" w:ascii="仿宋_GB2312" w:hAnsi="宋体" w:eastAsia="仿宋_GB2312"/>
                <w:sz w:val="32"/>
                <w:szCs w:val="32"/>
                <w:highlight w:val="none"/>
              </w:rPr>
              <w:t>%的价格扣除，用扣除后的价格参与评审。</w:t>
            </w:r>
          </w:p>
          <w:p>
            <w:pPr>
              <w:keepNext w:val="0"/>
              <w:keepLines w:val="0"/>
              <w:pageBreakBefore w:val="0"/>
              <w:widowControl w:val="0"/>
              <w:kinsoku/>
              <w:wordWrap/>
              <w:overflowPunct/>
              <w:topLinePunct w:val="0"/>
              <w:bidi w:val="0"/>
              <w:spacing w:line="594" w:lineRule="exact"/>
              <w:ind w:left="105" w:leftChars="50" w:right="105" w:rightChars="50" w:firstLine="320" w:firstLineChars="100"/>
              <w:rPr>
                <w:rFonts w:ascii="仿宋_GB2312" w:hAnsi="宋体" w:eastAsia="仿宋_GB2312"/>
                <w:sz w:val="32"/>
                <w:szCs w:val="32"/>
                <w:highlight w:val="none"/>
              </w:rPr>
            </w:pPr>
            <w:r>
              <w:rPr>
                <w:rFonts w:hint="eastAsia" w:ascii="仿宋_GB2312" w:hAnsi="宋体" w:eastAsia="仿宋_GB2312"/>
                <w:sz w:val="32"/>
                <w:szCs w:val="32"/>
                <w:highlight w:val="none"/>
              </w:rPr>
              <w:t>2.参加采购活动的中小企业应当提供《中小企业声明函》原件,监狱企业应当提供《监狱企业证明》原件,残疾人福利性单位应当提供《残疾人福利性单位声明函》原件。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shd w:val="clear" w:color="auto" w:fill="auto"/>
            <w:vAlign w:val="center"/>
          </w:tcPr>
          <w:p>
            <w:pPr>
              <w:pStyle w:val="29"/>
              <w:keepNext w:val="0"/>
              <w:keepLines w:val="0"/>
              <w:pageBreakBefore w:val="0"/>
              <w:widowControl w:val="0"/>
              <w:kinsoku/>
              <w:wordWrap/>
              <w:overflowPunct/>
              <w:topLinePunct w:val="0"/>
              <w:bidi w:val="0"/>
              <w:spacing w:line="594" w:lineRule="exact"/>
              <w:ind w:right="230"/>
              <w:jc w:val="center"/>
              <w:rPr>
                <w:rFonts w:hint="default" w:ascii="仿宋_GB2312" w:eastAsia="仿宋_GB2312" w:cs="Courier New"/>
                <w:sz w:val="32"/>
                <w:szCs w:val="32"/>
                <w:highlight w:val="none"/>
                <w:lang w:val="en-US" w:eastAsia="zh-CN"/>
              </w:rPr>
            </w:pPr>
            <w:r>
              <w:rPr>
                <w:rFonts w:hint="eastAsia" w:ascii="仿宋_GB2312" w:eastAsia="仿宋_GB2312" w:cs="Courier New"/>
                <w:sz w:val="32"/>
                <w:szCs w:val="32"/>
                <w:highlight w:val="none"/>
                <w:lang w:val="en-US" w:eastAsia="zh-CN"/>
              </w:rPr>
              <w:t>4</w:t>
            </w:r>
          </w:p>
        </w:tc>
        <w:tc>
          <w:tcPr>
            <w:tcW w:w="1785" w:type="dxa"/>
            <w:shd w:val="clear" w:color="auto" w:fill="auto"/>
            <w:vAlign w:val="center"/>
          </w:tcPr>
          <w:p>
            <w:pPr>
              <w:pStyle w:val="29"/>
              <w:keepNext w:val="0"/>
              <w:keepLines w:val="0"/>
              <w:pageBreakBefore w:val="0"/>
              <w:widowControl w:val="0"/>
              <w:kinsoku/>
              <w:wordWrap/>
              <w:overflowPunct/>
              <w:topLinePunct w:val="0"/>
              <w:bidi w:val="0"/>
              <w:spacing w:line="594" w:lineRule="exact"/>
              <w:ind w:left="38" w:leftChars="0"/>
              <w:jc w:val="center"/>
              <w:rPr>
                <w:rFonts w:hint="eastAsia" w:ascii="仿宋_GB2312" w:hAnsi="宋体" w:eastAsia="仿宋_GB2312" w:cs="宋体"/>
                <w:sz w:val="32"/>
                <w:szCs w:val="32"/>
                <w:highlight w:val="none"/>
                <w:lang w:val="en-US" w:eastAsia="zh-CN" w:bidi="ar-SA"/>
              </w:rPr>
            </w:pPr>
            <w:r>
              <w:rPr>
                <w:rFonts w:hint="eastAsia" w:ascii="仿宋_GB2312" w:eastAsia="仿宋_GB2312"/>
                <w:sz w:val="32"/>
                <w:szCs w:val="32"/>
                <w:highlight w:val="none"/>
                <w:lang w:val="en-US" w:eastAsia="zh-CN"/>
              </w:rPr>
              <w:t>采购预算</w:t>
            </w:r>
          </w:p>
        </w:tc>
        <w:tc>
          <w:tcPr>
            <w:tcW w:w="6430" w:type="dxa"/>
            <w:shd w:val="clear" w:color="auto" w:fill="auto"/>
            <w:vAlign w:val="top"/>
          </w:tcPr>
          <w:p>
            <w:pPr>
              <w:keepNext w:val="0"/>
              <w:keepLines w:val="0"/>
              <w:pageBreakBefore w:val="0"/>
              <w:widowControl w:val="0"/>
              <w:kinsoku/>
              <w:wordWrap/>
              <w:overflowPunct/>
              <w:topLinePunct w:val="0"/>
              <w:bidi w:val="0"/>
              <w:spacing w:line="594" w:lineRule="exact"/>
              <w:ind w:left="105" w:leftChars="50" w:right="105" w:rightChars="50"/>
              <w:rPr>
                <w:rFonts w:hint="eastAsia" w:ascii="仿宋_GB2312" w:hAnsi="宋体" w:eastAsia="仿宋_GB2312" w:cstheme="minorBidi"/>
                <w:b/>
                <w:kern w:val="2"/>
                <w:sz w:val="32"/>
                <w:szCs w:val="32"/>
                <w:highlight w:val="none"/>
                <w:lang w:val="en-US" w:eastAsia="zh-CN" w:bidi="ar-SA"/>
              </w:rPr>
            </w:pPr>
            <w:r>
              <w:rPr>
                <w:rFonts w:hint="eastAsia" w:ascii="仿宋_GB2312" w:hAnsi="宋体" w:eastAsia="仿宋_GB2312"/>
                <w:b/>
                <w:sz w:val="32"/>
                <w:szCs w:val="32"/>
                <w:highlight w:val="none"/>
                <w:lang w:val="en-US" w:eastAsia="zh-CN"/>
              </w:rPr>
              <w:t>3.6万元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shd w:val="clear" w:color="auto" w:fill="auto"/>
            <w:vAlign w:val="center"/>
          </w:tcPr>
          <w:p>
            <w:pPr>
              <w:pStyle w:val="29"/>
              <w:keepNext w:val="0"/>
              <w:keepLines w:val="0"/>
              <w:pageBreakBefore w:val="0"/>
              <w:widowControl w:val="0"/>
              <w:kinsoku/>
              <w:wordWrap/>
              <w:overflowPunct/>
              <w:topLinePunct w:val="0"/>
              <w:bidi w:val="0"/>
              <w:spacing w:line="594" w:lineRule="exact"/>
              <w:ind w:right="230"/>
              <w:jc w:val="center"/>
              <w:rPr>
                <w:rFonts w:hint="eastAsia" w:ascii="仿宋_GB2312" w:eastAsia="仿宋_GB2312" w:cs="Courier New"/>
                <w:sz w:val="32"/>
                <w:szCs w:val="32"/>
                <w:highlight w:val="none"/>
                <w:lang w:val="zh-CN" w:eastAsia="zh-CN"/>
              </w:rPr>
            </w:pPr>
            <w:r>
              <w:rPr>
                <w:rFonts w:hint="eastAsia" w:ascii="仿宋_GB2312" w:eastAsia="仿宋_GB2312" w:cs="Courier New"/>
                <w:sz w:val="32"/>
                <w:szCs w:val="32"/>
                <w:highlight w:val="none"/>
                <w:lang w:val="en-US" w:eastAsia="zh-CN"/>
              </w:rPr>
              <w:t>5</w:t>
            </w:r>
          </w:p>
        </w:tc>
        <w:tc>
          <w:tcPr>
            <w:tcW w:w="1785" w:type="dxa"/>
            <w:shd w:val="clear" w:color="auto" w:fill="auto"/>
            <w:vAlign w:val="center"/>
          </w:tcPr>
          <w:p>
            <w:pPr>
              <w:pStyle w:val="29"/>
              <w:keepNext w:val="0"/>
              <w:keepLines w:val="0"/>
              <w:pageBreakBefore w:val="0"/>
              <w:widowControl w:val="0"/>
              <w:kinsoku/>
              <w:wordWrap/>
              <w:overflowPunct/>
              <w:topLinePunct w:val="0"/>
              <w:bidi w:val="0"/>
              <w:spacing w:line="594" w:lineRule="exact"/>
              <w:ind w:left="38"/>
              <w:jc w:val="center"/>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最高限价</w:t>
            </w:r>
          </w:p>
        </w:tc>
        <w:tc>
          <w:tcPr>
            <w:tcW w:w="6430" w:type="dxa"/>
            <w:shd w:val="clear" w:color="auto" w:fill="auto"/>
          </w:tcPr>
          <w:p>
            <w:pPr>
              <w:keepNext w:val="0"/>
              <w:keepLines w:val="0"/>
              <w:pageBreakBefore w:val="0"/>
              <w:widowControl w:val="0"/>
              <w:kinsoku/>
              <w:wordWrap/>
              <w:overflowPunct/>
              <w:topLinePunct w:val="0"/>
              <w:bidi w:val="0"/>
              <w:spacing w:line="594" w:lineRule="exact"/>
              <w:ind w:left="105" w:leftChars="50" w:right="105" w:rightChars="50"/>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3.6万元</w:t>
            </w:r>
          </w:p>
          <w:p>
            <w:pPr>
              <w:keepNext w:val="0"/>
              <w:keepLines w:val="0"/>
              <w:pageBreakBefore w:val="0"/>
              <w:widowControl w:val="0"/>
              <w:kinsoku/>
              <w:wordWrap/>
              <w:overflowPunct/>
              <w:topLinePunct w:val="0"/>
              <w:bidi w:val="0"/>
              <w:spacing w:line="594" w:lineRule="exact"/>
              <w:ind w:left="105" w:leftChars="50" w:right="105" w:rightChars="50"/>
              <w:rPr>
                <w:rFonts w:hint="eastAsia" w:ascii="仿宋_GB2312" w:hAnsi="宋体" w:eastAsia="仿宋_GB2312"/>
                <w:b/>
                <w:sz w:val="32"/>
                <w:szCs w:val="32"/>
                <w:highlight w:val="none"/>
                <w:lang w:eastAsia="zh-CN"/>
              </w:rPr>
            </w:pPr>
            <w:r>
              <w:rPr>
                <w:rFonts w:hint="eastAsia" w:ascii="仿宋_GB2312" w:hAnsi="宋体" w:eastAsia="仿宋_GB2312"/>
                <w:b/>
                <w:sz w:val="32"/>
                <w:szCs w:val="32"/>
                <w:highlight w:val="none"/>
              </w:rPr>
              <w:t>超过最高限价的</w:t>
            </w:r>
            <w:r>
              <w:rPr>
                <w:rFonts w:hint="eastAsia" w:ascii="仿宋_GB2312" w:hAnsi="宋体" w:eastAsia="仿宋_GB2312"/>
                <w:b/>
                <w:sz w:val="32"/>
                <w:szCs w:val="32"/>
                <w:highlight w:val="none"/>
                <w:lang w:val="en-US" w:eastAsia="zh-CN"/>
              </w:rPr>
              <w:t>报价</w:t>
            </w:r>
            <w:r>
              <w:rPr>
                <w:rFonts w:hint="eastAsia" w:ascii="仿宋_GB2312" w:hAnsi="宋体" w:eastAsia="仿宋_GB2312"/>
                <w:b/>
                <w:sz w:val="32"/>
                <w:szCs w:val="32"/>
                <w:highlight w:val="none"/>
              </w:rPr>
              <w:t>作无效处理。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shd w:val="clear" w:color="auto" w:fill="auto"/>
            <w:vAlign w:val="center"/>
          </w:tcPr>
          <w:p>
            <w:pPr>
              <w:pStyle w:val="29"/>
              <w:keepNext w:val="0"/>
              <w:keepLines w:val="0"/>
              <w:pageBreakBefore w:val="0"/>
              <w:widowControl w:val="0"/>
              <w:kinsoku/>
              <w:wordWrap/>
              <w:overflowPunct/>
              <w:topLinePunct w:val="0"/>
              <w:bidi w:val="0"/>
              <w:spacing w:line="594" w:lineRule="exact"/>
              <w:ind w:right="230"/>
              <w:jc w:val="center"/>
              <w:rPr>
                <w:rFonts w:hint="eastAsia" w:ascii="仿宋_GB2312" w:eastAsia="仿宋_GB2312" w:cs="Courier New"/>
                <w:sz w:val="32"/>
                <w:szCs w:val="32"/>
                <w:highlight w:val="none"/>
                <w:lang w:val="en-US" w:eastAsia="zh-CN"/>
              </w:rPr>
            </w:pPr>
            <w:r>
              <w:rPr>
                <w:rFonts w:hint="eastAsia" w:ascii="仿宋_GB2312" w:eastAsia="仿宋_GB2312" w:cs="Courier New"/>
                <w:sz w:val="32"/>
                <w:szCs w:val="32"/>
                <w:highlight w:val="none"/>
                <w:lang w:val="en-US" w:eastAsia="zh-CN"/>
              </w:rPr>
              <w:t>6</w:t>
            </w:r>
          </w:p>
        </w:tc>
        <w:tc>
          <w:tcPr>
            <w:tcW w:w="1785" w:type="dxa"/>
            <w:shd w:val="clear" w:color="auto" w:fill="auto"/>
            <w:vAlign w:val="center"/>
          </w:tcPr>
          <w:p>
            <w:pPr>
              <w:pStyle w:val="29"/>
              <w:keepNext w:val="0"/>
              <w:keepLines w:val="0"/>
              <w:pageBreakBefore w:val="0"/>
              <w:widowControl w:val="0"/>
              <w:kinsoku/>
              <w:wordWrap/>
              <w:overflowPunct/>
              <w:topLinePunct w:val="0"/>
              <w:bidi w:val="0"/>
              <w:spacing w:line="594" w:lineRule="exact"/>
              <w:ind w:left="38"/>
              <w:jc w:val="center"/>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服务期限</w:t>
            </w:r>
          </w:p>
        </w:tc>
        <w:tc>
          <w:tcPr>
            <w:tcW w:w="6430" w:type="dxa"/>
            <w:shd w:val="clear" w:color="auto" w:fill="auto"/>
          </w:tcPr>
          <w:p>
            <w:pPr>
              <w:keepNext w:val="0"/>
              <w:keepLines w:val="0"/>
              <w:pageBreakBefore w:val="0"/>
              <w:widowControl w:val="0"/>
              <w:kinsoku/>
              <w:wordWrap/>
              <w:overflowPunct/>
              <w:topLinePunct w:val="0"/>
              <w:bidi w:val="0"/>
              <w:spacing w:line="594" w:lineRule="exact"/>
              <w:ind w:left="105" w:leftChars="50" w:right="105" w:rightChars="50"/>
              <w:rPr>
                <w:rFonts w:hint="default" w:ascii="宋体" w:hAnsi="宋体" w:eastAsia="宋体" w:cs="宋体"/>
                <w:sz w:val="21"/>
                <w:szCs w:val="21"/>
                <w:highlight w:val="none"/>
                <w:lang w:val="en-US" w:eastAsia="zh-CN"/>
              </w:rPr>
            </w:pPr>
            <w:r>
              <w:rPr>
                <w:rFonts w:hint="eastAsia" w:ascii="仿宋_GB2312" w:hAnsi="宋体" w:eastAsia="仿宋_GB2312" w:cs="宋体"/>
                <w:kern w:val="0"/>
                <w:sz w:val="32"/>
                <w:szCs w:val="32"/>
                <w:highlight w:val="none"/>
                <w:lang w:val="en-US" w:eastAsia="zh-CN" w:bidi="ar-SA"/>
              </w:rPr>
              <w:t>60个日历天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shd w:val="clear" w:color="auto" w:fill="auto"/>
            <w:vAlign w:val="center"/>
          </w:tcPr>
          <w:p>
            <w:pPr>
              <w:pStyle w:val="29"/>
              <w:keepNext w:val="0"/>
              <w:keepLines w:val="0"/>
              <w:pageBreakBefore w:val="0"/>
              <w:widowControl w:val="0"/>
              <w:kinsoku/>
              <w:wordWrap/>
              <w:overflowPunct/>
              <w:topLinePunct w:val="0"/>
              <w:bidi w:val="0"/>
              <w:spacing w:line="594" w:lineRule="exact"/>
              <w:ind w:right="230"/>
              <w:jc w:val="center"/>
              <w:rPr>
                <w:rFonts w:hint="eastAsia" w:ascii="仿宋_GB2312" w:eastAsia="仿宋_GB2312" w:cs="Courier New"/>
                <w:sz w:val="32"/>
                <w:szCs w:val="32"/>
                <w:highlight w:val="none"/>
                <w:lang w:val="en-US" w:eastAsia="zh-CN"/>
              </w:rPr>
            </w:pPr>
            <w:r>
              <w:rPr>
                <w:rFonts w:hint="eastAsia" w:ascii="仿宋_GB2312" w:eastAsia="仿宋_GB2312" w:cs="Courier New"/>
                <w:sz w:val="32"/>
                <w:szCs w:val="32"/>
                <w:highlight w:val="none"/>
                <w:lang w:val="en-US" w:eastAsia="zh-CN"/>
              </w:rPr>
              <w:t>7</w:t>
            </w:r>
          </w:p>
        </w:tc>
        <w:tc>
          <w:tcPr>
            <w:tcW w:w="1785" w:type="dxa"/>
            <w:shd w:val="clear" w:color="auto" w:fill="auto"/>
            <w:vAlign w:val="center"/>
          </w:tcPr>
          <w:p>
            <w:pPr>
              <w:pStyle w:val="29"/>
              <w:keepNext w:val="0"/>
              <w:keepLines w:val="0"/>
              <w:pageBreakBefore w:val="0"/>
              <w:widowControl w:val="0"/>
              <w:kinsoku/>
              <w:wordWrap/>
              <w:overflowPunct/>
              <w:topLinePunct w:val="0"/>
              <w:bidi w:val="0"/>
              <w:spacing w:line="594" w:lineRule="exact"/>
              <w:ind w:left="38"/>
              <w:jc w:val="center"/>
              <w:rPr>
                <w:rFonts w:hint="default" w:ascii="仿宋_GB2312" w:eastAsia="仿宋_GB2312"/>
                <w:sz w:val="32"/>
                <w:szCs w:val="32"/>
                <w:highlight w:val="none"/>
                <w:lang w:val="en-US" w:eastAsia="zh-CN"/>
              </w:rPr>
            </w:pPr>
            <w:r>
              <w:rPr>
                <w:rFonts w:hint="eastAsia" w:ascii="仿宋" w:hAnsi="仿宋" w:eastAsia="仿宋"/>
                <w:sz w:val="32"/>
                <w:szCs w:val="32"/>
                <w:highlight w:val="none"/>
                <w:lang w:val="en-US" w:eastAsia="zh-CN"/>
              </w:rPr>
              <w:t>供应商质疑</w:t>
            </w:r>
          </w:p>
        </w:tc>
        <w:tc>
          <w:tcPr>
            <w:tcW w:w="6430" w:type="dxa"/>
            <w:shd w:val="clear" w:color="auto" w:fill="auto"/>
          </w:tcPr>
          <w:p>
            <w:pPr>
              <w:pStyle w:val="29"/>
              <w:keepNext w:val="0"/>
              <w:keepLines w:val="0"/>
              <w:pageBreakBefore w:val="0"/>
              <w:widowControl w:val="0"/>
              <w:kinsoku/>
              <w:wordWrap/>
              <w:overflowPunct/>
              <w:topLinePunct w:val="0"/>
              <w:autoSpaceDE w:val="0"/>
              <w:autoSpaceDN w:val="0"/>
              <w:bidi w:val="0"/>
              <w:adjustRightInd w:val="0"/>
              <w:snapToGrid/>
              <w:spacing w:line="500" w:lineRule="exact"/>
              <w:jc w:val="both"/>
              <w:textAlignment w:val="auto"/>
              <w:rPr>
                <w:rFonts w:hint="eastAsia" w:ascii="仿宋" w:hAnsi="仿宋" w:eastAsia="仿宋"/>
                <w:sz w:val="32"/>
                <w:szCs w:val="32"/>
                <w:highlight w:val="none"/>
                <w:lang w:val="zh-CN" w:eastAsia="zh-CN"/>
              </w:rPr>
            </w:pPr>
            <w:r>
              <w:rPr>
                <w:rFonts w:hint="eastAsia" w:ascii="仿宋" w:hAnsi="仿宋" w:eastAsia="仿宋"/>
                <w:sz w:val="32"/>
                <w:szCs w:val="32"/>
                <w:highlight w:val="none"/>
                <w:lang w:val="en-US" w:eastAsia="zh-CN"/>
              </w:rPr>
              <w:t>针对采购文件及采购文件中采购需求、采购过程、采购结果的质疑由采购人负责接受并</w:t>
            </w:r>
            <w:r>
              <w:rPr>
                <w:rFonts w:hint="eastAsia" w:ascii="仿宋" w:hAnsi="仿宋" w:eastAsia="仿宋"/>
                <w:sz w:val="32"/>
                <w:szCs w:val="32"/>
                <w:highlight w:val="none"/>
                <w:lang w:val="zh-CN" w:eastAsia="zh-CN"/>
              </w:rPr>
              <w:t>答复。</w:t>
            </w:r>
          </w:p>
          <w:p>
            <w:pPr>
              <w:pStyle w:val="29"/>
              <w:keepNext w:val="0"/>
              <w:keepLines w:val="0"/>
              <w:pageBreakBefore w:val="0"/>
              <w:widowControl w:val="0"/>
              <w:kinsoku/>
              <w:wordWrap/>
              <w:overflowPunct/>
              <w:topLinePunct w:val="0"/>
              <w:autoSpaceDE w:val="0"/>
              <w:autoSpaceDN w:val="0"/>
              <w:bidi w:val="0"/>
              <w:adjustRightInd w:val="0"/>
              <w:snapToGrid/>
              <w:spacing w:line="500" w:lineRule="exact"/>
              <w:jc w:val="both"/>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通讯地址：德阳市华山南路二段461号</w:t>
            </w:r>
          </w:p>
          <w:p>
            <w:pPr>
              <w:pStyle w:val="29"/>
              <w:keepNext w:val="0"/>
              <w:keepLines w:val="0"/>
              <w:pageBreakBefore w:val="0"/>
              <w:widowControl w:val="0"/>
              <w:kinsoku/>
              <w:wordWrap/>
              <w:overflowPunct/>
              <w:topLinePunct w:val="0"/>
              <w:autoSpaceDE w:val="0"/>
              <w:autoSpaceDN w:val="0"/>
              <w:bidi w:val="0"/>
              <w:adjustRightInd w:val="0"/>
              <w:snapToGrid/>
              <w:spacing w:line="500" w:lineRule="exact"/>
              <w:jc w:val="both"/>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联 系 人：周老师</w:t>
            </w:r>
          </w:p>
          <w:p>
            <w:pPr>
              <w:pStyle w:val="29"/>
              <w:keepNext w:val="0"/>
              <w:keepLines w:val="0"/>
              <w:pageBreakBefore w:val="0"/>
              <w:widowControl w:val="0"/>
              <w:kinsoku/>
              <w:wordWrap/>
              <w:overflowPunct/>
              <w:topLinePunct w:val="0"/>
              <w:autoSpaceDE w:val="0"/>
              <w:autoSpaceDN w:val="0"/>
              <w:bidi w:val="0"/>
              <w:adjustRightInd w:val="0"/>
              <w:snapToGrid/>
              <w:spacing w:line="500" w:lineRule="exact"/>
              <w:jc w:val="both"/>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联系电话：0838-2873178</w:t>
            </w:r>
          </w:p>
          <w:p>
            <w:pPr>
              <w:pStyle w:val="29"/>
              <w:keepNext w:val="0"/>
              <w:keepLines w:val="0"/>
              <w:pageBreakBefore w:val="0"/>
              <w:widowControl w:val="0"/>
              <w:kinsoku/>
              <w:wordWrap/>
              <w:overflowPunct/>
              <w:topLinePunct w:val="0"/>
              <w:bidi w:val="0"/>
              <w:snapToGrid/>
              <w:spacing w:line="400" w:lineRule="exact"/>
              <w:ind w:leftChars="-1" w:hanging="2" w:hangingChars="1"/>
              <w:jc w:val="both"/>
              <w:textAlignment w:val="auto"/>
              <w:rPr>
                <w:rFonts w:hint="eastAsia"/>
                <w:b/>
                <w:highlight w:val="none"/>
                <w:lang w:val="zh-CN"/>
              </w:rPr>
            </w:pPr>
            <w:r>
              <w:rPr>
                <w:rFonts w:hint="eastAsia"/>
                <w:b/>
                <w:highlight w:val="none"/>
                <w:lang w:val="zh-CN"/>
              </w:rPr>
              <w:t>注：1、根据《中华人民共和国政府采购法》的规定，供应商质疑不得超出采购文件、采购过程、采购结果的范围。</w:t>
            </w:r>
          </w:p>
          <w:p>
            <w:pPr>
              <w:pStyle w:val="29"/>
              <w:keepNext w:val="0"/>
              <w:keepLines w:val="0"/>
              <w:pageBreakBefore w:val="0"/>
              <w:widowControl w:val="0"/>
              <w:numPr>
                <w:ilvl w:val="0"/>
                <w:numId w:val="0"/>
              </w:numPr>
              <w:kinsoku/>
              <w:wordWrap/>
              <w:overflowPunct/>
              <w:topLinePunct w:val="0"/>
              <w:bidi w:val="0"/>
              <w:snapToGrid/>
              <w:spacing w:line="400" w:lineRule="exact"/>
              <w:ind w:firstLine="482" w:firstLineChars="200"/>
              <w:jc w:val="both"/>
              <w:textAlignment w:val="auto"/>
              <w:rPr>
                <w:rFonts w:hint="eastAsia"/>
                <w:b/>
                <w:highlight w:val="none"/>
                <w:lang w:val="zh-CN"/>
              </w:rPr>
            </w:pPr>
            <w:r>
              <w:rPr>
                <w:rFonts w:hint="eastAsia"/>
                <w:b/>
                <w:highlight w:val="none"/>
                <w:lang w:val="en-US" w:eastAsia="zh-CN"/>
              </w:rPr>
              <w:t>2、</w:t>
            </w:r>
            <w:r>
              <w:rPr>
                <w:rFonts w:hint="eastAsia"/>
                <w:b/>
                <w:highlight w:val="none"/>
                <w:lang w:val="zh-CN"/>
              </w:rPr>
              <w:t>不在法定质疑期内提出的质疑书会被拒收。不符合要求的质疑书在法定质疑期内及时补充完善，否则作质疑不成立处理。</w:t>
            </w:r>
          </w:p>
          <w:p>
            <w:pPr>
              <w:keepNext w:val="0"/>
              <w:keepLines w:val="0"/>
              <w:pageBreakBefore w:val="0"/>
              <w:widowControl w:val="0"/>
              <w:kinsoku/>
              <w:wordWrap/>
              <w:overflowPunct/>
              <w:topLinePunct w:val="0"/>
              <w:bidi w:val="0"/>
              <w:spacing w:line="594" w:lineRule="exact"/>
              <w:ind w:left="105" w:leftChars="50" w:right="105" w:rightChars="50" w:firstLine="241" w:firstLineChars="100"/>
              <w:rPr>
                <w:rFonts w:hint="default" w:ascii="仿宋_GB2312" w:hAnsi="宋体" w:eastAsia="仿宋_GB2312"/>
                <w:b/>
                <w:sz w:val="32"/>
                <w:szCs w:val="32"/>
                <w:highlight w:val="none"/>
                <w:lang w:val="en-US" w:eastAsia="zh-CN"/>
              </w:rPr>
            </w:pPr>
            <w:r>
              <w:rPr>
                <w:rFonts w:hint="eastAsia" w:ascii="宋体" w:hAnsi="宋体" w:eastAsia="宋体" w:cs="宋体"/>
                <w:b/>
                <w:kern w:val="0"/>
                <w:sz w:val="24"/>
                <w:szCs w:val="24"/>
                <w:highlight w:val="none"/>
                <w:lang w:val="en-US" w:eastAsia="zh-CN" w:bidi="ar-SA"/>
              </w:rPr>
              <w:t>3、</w:t>
            </w:r>
            <w:r>
              <w:rPr>
                <w:rFonts w:hint="eastAsia" w:ascii="宋体" w:hAnsi="宋体" w:eastAsia="宋体" w:cs="宋体"/>
                <w:b/>
                <w:kern w:val="0"/>
                <w:sz w:val="24"/>
                <w:szCs w:val="24"/>
                <w:highlight w:val="none"/>
                <w:lang w:val="zh-CN" w:eastAsia="zh-CN" w:bidi="ar-SA"/>
              </w:rPr>
              <w:t>质疑应当以书面形式提出，供应商在法定质疑期内一次性提出针对同一采购程序环节的质疑。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shd w:val="clear" w:color="auto" w:fill="auto"/>
            <w:vAlign w:val="center"/>
          </w:tcPr>
          <w:p>
            <w:pPr>
              <w:pStyle w:val="29"/>
              <w:keepNext w:val="0"/>
              <w:keepLines w:val="0"/>
              <w:pageBreakBefore w:val="0"/>
              <w:widowControl w:val="0"/>
              <w:kinsoku/>
              <w:wordWrap/>
              <w:overflowPunct/>
              <w:topLinePunct w:val="0"/>
              <w:bidi w:val="0"/>
              <w:spacing w:line="594" w:lineRule="exact"/>
              <w:ind w:right="230"/>
              <w:jc w:val="center"/>
              <w:rPr>
                <w:rFonts w:hint="eastAsia" w:ascii="仿宋_GB2312" w:eastAsia="仿宋_GB2312" w:cs="Courier New"/>
                <w:sz w:val="32"/>
                <w:szCs w:val="32"/>
                <w:highlight w:val="none"/>
                <w:lang w:val="en-US" w:eastAsia="zh-CN"/>
              </w:rPr>
            </w:pPr>
            <w:r>
              <w:rPr>
                <w:rFonts w:hint="eastAsia" w:ascii="仿宋_GB2312" w:eastAsia="仿宋_GB2312" w:cs="Courier New"/>
                <w:sz w:val="32"/>
                <w:szCs w:val="32"/>
                <w:highlight w:val="none"/>
                <w:lang w:val="en-US" w:eastAsia="zh-CN"/>
              </w:rPr>
              <w:t>8</w:t>
            </w:r>
          </w:p>
        </w:tc>
        <w:tc>
          <w:tcPr>
            <w:tcW w:w="1785" w:type="dxa"/>
            <w:shd w:val="clear" w:color="auto" w:fill="auto"/>
            <w:vAlign w:val="center"/>
          </w:tcPr>
          <w:p>
            <w:pPr>
              <w:pStyle w:val="29"/>
              <w:keepNext w:val="0"/>
              <w:keepLines w:val="0"/>
              <w:pageBreakBefore w:val="0"/>
              <w:widowControl w:val="0"/>
              <w:kinsoku/>
              <w:wordWrap/>
              <w:overflowPunct/>
              <w:topLinePunct w:val="0"/>
              <w:bidi w:val="0"/>
              <w:spacing w:line="594" w:lineRule="exact"/>
              <w:ind w:left="38"/>
              <w:jc w:val="center"/>
              <w:rPr>
                <w:rFonts w:hint="eastAsia" w:ascii="仿宋_GB2312" w:eastAsia="仿宋_GB2312"/>
                <w:sz w:val="32"/>
                <w:szCs w:val="32"/>
                <w:highlight w:val="none"/>
                <w:lang w:val="en-US" w:eastAsia="zh-CN"/>
              </w:rPr>
            </w:pPr>
            <w:r>
              <w:rPr>
                <w:rFonts w:hint="eastAsia" w:ascii="仿宋" w:hAnsi="仿宋" w:eastAsia="仿宋"/>
                <w:sz w:val="32"/>
                <w:szCs w:val="32"/>
                <w:highlight w:val="none"/>
                <w:lang w:val="zh-CN" w:eastAsia="zh-CN"/>
              </w:rPr>
              <w:t>特别提醒</w:t>
            </w:r>
          </w:p>
        </w:tc>
        <w:tc>
          <w:tcPr>
            <w:tcW w:w="6430" w:type="dxa"/>
            <w:shd w:val="clear" w:color="auto" w:fill="auto"/>
          </w:tcPr>
          <w:p>
            <w:pPr>
              <w:pStyle w:val="29"/>
              <w:keepNext w:val="0"/>
              <w:keepLines w:val="0"/>
              <w:pageBreakBefore w:val="0"/>
              <w:widowControl w:val="0"/>
              <w:kinsoku/>
              <w:wordWrap/>
              <w:overflowPunct/>
              <w:topLinePunct w:val="0"/>
              <w:autoSpaceDE w:val="0"/>
              <w:autoSpaceDN w:val="0"/>
              <w:bidi w:val="0"/>
              <w:adjustRightInd w:val="0"/>
              <w:snapToGrid/>
              <w:spacing w:line="500" w:lineRule="exact"/>
              <w:jc w:val="both"/>
              <w:textAlignment w:val="auto"/>
              <w:rPr>
                <w:rFonts w:hint="eastAsia" w:ascii="仿宋" w:hAnsi="仿宋" w:eastAsia="仿宋"/>
                <w:sz w:val="32"/>
                <w:szCs w:val="32"/>
                <w:highlight w:val="none"/>
                <w:lang w:val="zh-CN" w:eastAsia="zh-CN"/>
              </w:rPr>
            </w:pPr>
            <w:r>
              <w:rPr>
                <w:rFonts w:hint="eastAsia" w:ascii="仿宋" w:hAnsi="仿宋" w:eastAsia="仿宋"/>
                <w:sz w:val="32"/>
                <w:szCs w:val="32"/>
                <w:highlight w:val="none"/>
                <w:lang w:val="en-US" w:eastAsia="zh-CN"/>
              </w:rPr>
              <w:t>1.</w:t>
            </w:r>
            <w:r>
              <w:rPr>
                <w:rFonts w:hint="eastAsia" w:ascii="仿宋" w:hAnsi="仿宋" w:eastAsia="仿宋"/>
                <w:sz w:val="32"/>
                <w:szCs w:val="32"/>
                <w:highlight w:val="none"/>
                <w:lang w:val="zh-CN" w:eastAsia="zh-CN"/>
              </w:rPr>
              <w:t>供应商必须按照谈判文件据实填写，不得虚假应答，凡经查实，将取消成交资格，列入</w:t>
            </w:r>
            <w:r>
              <w:rPr>
                <w:rFonts w:hint="eastAsia" w:ascii="仿宋" w:hAnsi="仿宋" w:eastAsia="仿宋"/>
                <w:sz w:val="32"/>
                <w:szCs w:val="32"/>
                <w:highlight w:val="none"/>
                <w:lang w:val="en-US" w:eastAsia="zh-CN"/>
              </w:rPr>
              <w:t>采购人供应商黑</w:t>
            </w:r>
            <w:r>
              <w:rPr>
                <w:rFonts w:hint="eastAsia" w:ascii="仿宋" w:hAnsi="仿宋" w:eastAsia="仿宋"/>
                <w:sz w:val="32"/>
                <w:szCs w:val="32"/>
                <w:highlight w:val="none"/>
                <w:lang w:val="zh-CN" w:eastAsia="zh-CN"/>
              </w:rPr>
              <w:t>名单，在3年内禁止参加</w:t>
            </w:r>
            <w:r>
              <w:rPr>
                <w:rFonts w:hint="eastAsia" w:ascii="仿宋" w:hAnsi="仿宋" w:eastAsia="仿宋"/>
                <w:sz w:val="32"/>
                <w:szCs w:val="32"/>
                <w:highlight w:val="none"/>
                <w:lang w:val="en-US" w:eastAsia="zh-CN"/>
              </w:rPr>
              <w:t>采购人</w:t>
            </w:r>
            <w:r>
              <w:rPr>
                <w:rFonts w:hint="eastAsia" w:ascii="仿宋" w:hAnsi="仿宋" w:eastAsia="仿宋"/>
                <w:sz w:val="32"/>
                <w:szCs w:val="32"/>
                <w:highlight w:val="none"/>
                <w:lang w:val="zh-CN" w:eastAsia="zh-CN"/>
              </w:rPr>
              <w:t>采购活动。</w:t>
            </w:r>
          </w:p>
          <w:p>
            <w:pPr>
              <w:keepNext w:val="0"/>
              <w:keepLines w:val="0"/>
              <w:pageBreakBefore w:val="0"/>
              <w:widowControl w:val="0"/>
              <w:kinsoku/>
              <w:wordWrap/>
              <w:overflowPunct/>
              <w:topLinePunct w:val="0"/>
              <w:bidi w:val="0"/>
              <w:spacing w:line="594" w:lineRule="exact"/>
              <w:ind w:left="105" w:leftChars="50" w:right="105" w:rightChars="50"/>
              <w:rPr>
                <w:rFonts w:hint="eastAsia" w:ascii="仿宋_GB2312" w:hAnsi="宋体" w:eastAsia="仿宋_GB2312"/>
                <w:sz w:val="32"/>
                <w:szCs w:val="32"/>
                <w:highlight w:val="none"/>
                <w:lang w:val="en-US" w:eastAsia="zh-CN"/>
              </w:rPr>
            </w:pPr>
            <w:r>
              <w:rPr>
                <w:rFonts w:hint="eastAsia" w:ascii="仿宋" w:hAnsi="仿宋" w:eastAsia="仿宋"/>
                <w:sz w:val="32"/>
                <w:szCs w:val="32"/>
                <w:highlight w:val="none"/>
                <w:lang w:val="en-US" w:eastAsia="zh-CN"/>
              </w:rPr>
              <w:t>2.供应商不得有围标、串标、恶意中标等不良行为，凡经查实，</w:t>
            </w:r>
            <w:r>
              <w:rPr>
                <w:rFonts w:hint="eastAsia" w:ascii="仿宋" w:hAnsi="仿宋" w:eastAsia="仿宋"/>
                <w:sz w:val="32"/>
                <w:szCs w:val="32"/>
                <w:highlight w:val="none"/>
                <w:lang w:val="zh-CN" w:eastAsia="zh-CN"/>
              </w:rPr>
              <w:t>将取消成交资格，列入</w:t>
            </w:r>
            <w:r>
              <w:rPr>
                <w:rFonts w:hint="eastAsia" w:ascii="仿宋" w:hAnsi="仿宋" w:eastAsia="仿宋"/>
                <w:sz w:val="32"/>
                <w:szCs w:val="32"/>
                <w:highlight w:val="none"/>
                <w:lang w:val="en-US" w:eastAsia="zh-CN"/>
              </w:rPr>
              <w:t>采购人供应商黑</w:t>
            </w:r>
            <w:r>
              <w:rPr>
                <w:rFonts w:hint="eastAsia" w:ascii="仿宋" w:hAnsi="仿宋" w:eastAsia="仿宋"/>
                <w:sz w:val="32"/>
                <w:szCs w:val="32"/>
                <w:highlight w:val="none"/>
                <w:lang w:val="zh-CN" w:eastAsia="zh-CN"/>
              </w:rPr>
              <w:t>名单，在3年内禁止参加</w:t>
            </w:r>
            <w:r>
              <w:rPr>
                <w:rFonts w:hint="eastAsia" w:ascii="仿宋" w:hAnsi="仿宋" w:eastAsia="仿宋"/>
                <w:sz w:val="32"/>
                <w:szCs w:val="32"/>
                <w:highlight w:val="none"/>
                <w:lang w:val="en-US" w:eastAsia="zh-CN"/>
              </w:rPr>
              <w:t>采购人</w:t>
            </w:r>
            <w:r>
              <w:rPr>
                <w:rFonts w:hint="eastAsia" w:ascii="仿宋" w:hAnsi="仿宋" w:eastAsia="仿宋"/>
                <w:sz w:val="32"/>
                <w:szCs w:val="32"/>
                <w:highlight w:val="none"/>
                <w:lang w:val="zh-CN" w:eastAsia="zh-CN"/>
              </w:rPr>
              <w:t>采购活动。</w:t>
            </w:r>
          </w:p>
        </w:tc>
      </w:tr>
    </w:tbl>
    <w:p>
      <w:pPr>
        <w:pStyle w:val="2"/>
        <w:bidi w:val="0"/>
        <w:jc w:val="both"/>
        <w:rPr>
          <w:rFonts w:hint="eastAsia"/>
          <w:highlight w:val="none"/>
        </w:rPr>
      </w:pPr>
      <w:bookmarkStart w:id="4" w:name="_Toc28148"/>
    </w:p>
    <w:p>
      <w:pPr>
        <w:pStyle w:val="2"/>
        <w:bidi w:val="0"/>
        <w:jc w:val="both"/>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jc w:val="center"/>
        <w:rPr>
          <w:rFonts w:hint="default"/>
          <w:b/>
          <w:bCs/>
          <w:sz w:val="36"/>
          <w:szCs w:val="36"/>
          <w:highlight w:val="none"/>
          <w:lang w:val="en-US" w:eastAsia="zh-CN"/>
        </w:rPr>
      </w:pPr>
      <w:r>
        <w:rPr>
          <w:rFonts w:hint="eastAsia"/>
          <w:b/>
          <w:bCs/>
          <w:sz w:val="36"/>
          <w:szCs w:val="36"/>
          <w:highlight w:val="none"/>
        </w:rPr>
        <w:t>第三章  采购项目</w:t>
      </w:r>
      <w:r>
        <w:rPr>
          <w:rFonts w:hint="eastAsia"/>
          <w:b/>
          <w:bCs/>
          <w:sz w:val="36"/>
          <w:szCs w:val="36"/>
          <w:highlight w:val="none"/>
          <w:lang w:val="en-US" w:eastAsia="zh-CN"/>
        </w:rPr>
        <w:t>技术</w:t>
      </w:r>
      <w:r>
        <w:rPr>
          <w:rFonts w:hint="eastAsia"/>
          <w:b/>
          <w:bCs/>
          <w:sz w:val="36"/>
          <w:szCs w:val="36"/>
          <w:highlight w:val="none"/>
        </w:rPr>
        <w:t>、商务</w:t>
      </w:r>
      <w:r>
        <w:rPr>
          <w:rFonts w:hint="eastAsia"/>
          <w:b/>
          <w:bCs/>
          <w:sz w:val="36"/>
          <w:szCs w:val="36"/>
          <w:highlight w:val="none"/>
          <w:lang w:val="en-US" w:eastAsia="zh-CN"/>
        </w:rPr>
        <w:t>及</w:t>
      </w:r>
      <w:r>
        <w:rPr>
          <w:rFonts w:hint="eastAsia"/>
          <w:b/>
          <w:bCs/>
          <w:sz w:val="36"/>
          <w:szCs w:val="36"/>
          <w:highlight w:val="none"/>
        </w:rPr>
        <w:t>其他要求</w:t>
      </w:r>
      <w:bookmarkEnd w:id="4"/>
      <w:bookmarkStart w:id="5" w:name="_Toc217446095"/>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ind w:firstLine="643" w:firstLineChars="200"/>
        <w:textAlignment w:val="auto"/>
        <w:rPr>
          <w:rFonts w:hint="default" w:ascii="仿宋_GB2312" w:eastAsia="仿宋_GB2312" w:cstheme="minorBidi"/>
          <w:b/>
          <w:bCs/>
          <w:kern w:val="2"/>
          <w:sz w:val="32"/>
          <w:szCs w:val="32"/>
          <w:highlight w:val="none"/>
          <w:lang w:val="en-US" w:eastAsia="zh-CN" w:bidi="ar-SA"/>
        </w:rPr>
      </w:pPr>
      <w:r>
        <w:rPr>
          <w:rFonts w:hint="eastAsia" w:ascii="仿宋_GB2312" w:eastAsia="仿宋_GB2312" w:cstheme="minorBidi"/>
          <w:b/>
          <w:bCs/>
          <w:kern w:val="2"/>
          <w:sz w:val="32"/>
          <w:szCs w:val="32"/>
          <w:highlight w:val="none"/>
          <w:lang w:val="en-US" w:eastAsia="zh-CN" w:bidi="ar-SA"/>
        </w:rPr>
        <w:t>一、项目技术参数与性能指标</w:t>
      </w:r>
    </w:p>
    <w:p>
      <w:pPr>
        <w:pStyle w:val="48"/>
        <w:keepNext w:val="0"/>
        <w:keepLines w:val="0"/>
        <w:pageBreakBefore w:val="0"/>
        <w:widowControl/>
        <w:kinsoku/>
        <w:wordWrap/>
        <w:overflowPunct/>
        <w:topLinePunct w:val="0"/>
        <w:autoSpaceDE/>
        <w:autoSpaceDN/>
        <w:bidi w:val="0"/>
        <w:adjustRightInd/>
        <w:snapToGrid/>
        <w:ind w:firstLine="482" w:firstLineChars="200"/>
        <w:jc w:val="both"/>
        <w:textAlignment w:val="auto"/>
      </w:pPr>
      <w:r>
        <w:rPr>
          <w:rFonts w:ascii="宋体" w:hAnsi="宋体" w:eastAsia="宋体" w:cs="宋体"/>
          <w:b/>
          <w:sz w:val="24"/>
        </w:rPr>
        <w:t>（一）网络安全等级保护测评服务</w:t>
      </w:r>
    </w:p>
    <w:p>
      <w:pPr>
        <w:pStyle w:val="48"/>
        <w:keepNext w:val="0"/>
        <w:keepLines w:val="0"/>
        <w:pageBreakBefore w:val="0"/>
        <w:widowControl/>
        <w:kinsoku/>
        <w:wordWrap/>
        <w:overflowPunct/>
        <w:topLinePunct w:val="0"/>
        <w:autoSpaceDE/>
        <w:autoSpaceDN/>
        <w:bidi w:val="0"/>
        <w:adjustRightInd/>
        <w:snapToGrid/>
        <w:ind w:firstLine="482" w:firstLineChars="200"/>
        <w:jc w:val="left"/>
        <w:textAlignment w:val="auto"/>
      </w:pPr>
      <w:r>
        <w:rPr>
          <w:rFonts w:ascii="宋体" w:hAnsi="宋体" w:eastAsia="宋体" w:cs="宋体"/>
          <w:b/>
          <w:sz w:val="24"/>
        </w:rPr>
        <w:t>1、测评目标及范围</w:t>
      </w:r>
    </w:p>
    <w:p>
      <w:pPr>
        <w:pStyle w:val="48"/>
        <w:keepNext w:val="0"/>
        <w:keepLines w:val="0"/>
        <w:pageBreakBefore w:val="0"/>
        <w:widowControl/>
        <w:kinsoku/>
        <w:wordWrap/>
        <w:overflowPunct/>
        <w:topLinePunct w:val="0"/>
        <w:autoSpaceDE/>
        <w:autoSpaceDN/>
        <w:bidi w:val="0"/>
        <w:adjustRightInd/>
        <w:snapToGrid/>
        <w:ind w:firstLine="480" w:firstLineChars="200"/>
        <w:jc w:val="both"/>
        <w:textAlignment w:val="auto"/>
      </w:pPr>
      <w:r>
        <w:rPr>
          <w:rFonts w:ascii="宋体" w:hAnsi="宋体" w:eastAsia="宋体" w:cs="宋体"/>
          <w:sz w:val="24"/>
        </w:rPr>
        <w:t>根据国家关于信息安全等级保护制度落实的相关要求，对医院信息管理系统HIS（EMR）开展安全等级测评工作，以指导安全整改，提高信息系统的安全防护能力，同时提供系统漏洞扫描和渗透测试服务，并给出相应的安全加固建议和安全防御体系建设指导。</w:t>
      </w:r>
    </w:p>
    <w:p>
      <w:pPr>
        <w:pStyle w:val="48"/>
        <w:keepNext w:val="0"/>
        <w:keepLines w:val="0"/>
        <w:pageBreakBefore w:val="0"/>
        <w:widowControl/>
        <w:kinsoku/>
        <w:wordWrap/>
        <w:overflowPunct/>
        <w:topLinePunct w:val="0"/>
        <w:autoSpaceDE/>
        <w:autoSpaceDN/>
        <w:bidi w:val="0"/>
        <w:adjustRightInd/>
        <w:snapToGrid/>
        <w:ind w:firstLine="480" w:firstLineChars="200"/>
        <w:jc w:val="both"/>
        <w:textAlignment w:val="auto"/>
      </w:pPr>
      <w:r>
        <w:rPr>
          <w:rFonts w:ascii="宋体" w:hAnsi="宋体" w:eastAsia="宋体" w:cs="宋体"/>
          <w:sz w:val="24"/>
        </w:rPr>
        <w:t>本次安全等级测评项目及安全服务的服务范围包括以下信息系统：</w:t>
      </w:r>
    </w:p>
    <w:tbl>
      <w:tblPr>
        <w:tblStyle w:val="18"/>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850"/>
        <w:gridCol w:w="4695"/>
        <w:gridCol w:w="250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185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序号</w:t>
            </w:r>
          </w:p>
        </w:tc>
        <w:tc>
          <w:tcPr>
            <w:tcW w:w="469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信息系统名称</w:t>
            </w:r>
          </w:p>
        </w:tc>
        <w:tc>
          <w:tcPr>
            <w:tcW w:w="250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定级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1</w:t>
            </w:r>
          </w:p>
        </w:tc>
        <w:tc>
          <w:tcPr>
            <w:tcW w:w="46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医院信息管理系统HIS（EMR）</w:t>
            </w:r>
          </w:p>
        </w:tc>
        <w:tc>
          <w:tcPr>
            <w:tcW w:w="250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3级</w:t>
            </w:r>
          </w:p>
        </w:tc>
      </w:tr>
    </w:tbl>
    <w:p>
      <w:pPr>
        <w:pStyle w:val="48"/>
        <w:keepNext w:val="0"/>
        <w:keepLines w:val="0"/>
        <w:pageBreakBefore w:val="0"/>
        <w:widowControl/>
        <w:kinsoku/>
        <w:wordWrap/>
        <w:overflowPunct/>
        <w:topLinePunct w:val="0"/>
        <w:autoSpaceDE/>
        <w:autoSpaceDN/>
        <w:bidi w:val="0"/>
        <w:adjustRightInd/>
        <w:snapToGrid/>
        <w:ind w:firstLine="482" w:firstLineChars="200"/>
        <w:jc w:val="left"/>
        <w:textAlignment w:val="auto"/>
        <w:rPr>
          <w:rFonts w:ascii="宋体" w:hAnsi="宋体" w:eastAsia="宋体" w:cs="宋体"/>
          <w:b/>
          <w:sz w:val="24"/>
        </w:rPr>
      </w:pPr>
      <w:r>
        <w:rPr>
          <w:rFonts w:ascii="宋体" w:hAnsi="宋体" w:eastAsia="宋体" w:cs="宋体"/>
          <w:b/>
          <w:sz w:val="24"/>
        </w:rPr>
        <w:t>2、测评需求</w:t>
      </w:r>
    </w:p>
    <w:p>
      <w:pPr>
        <w:pStyle w:val="48"/>
        <w:keepNext w:val="0"/>
        <w:keepLines w:val="0"/>
        <w:pageBreakBefore w:val="0"/>
        <w:widowControl/>
        <w:kinsoku/>
        <w:wordWrap/>
        <w:overflowPunct/>
        <w:topLinePunct w:val="0"/>
        <w:autoSpaceDE/>
        <w:autoSpaceDN/>
        <w:bidi w:val="0"/>
        <w:adjustRightInd/>
        <w:snapToGrid/>
        <w:ind w:firstLine="480" w:firstLineChars="200"/>
        <w:jc w:val="both"/>
        <w:textAlignment w:val="auto"/>
      </w:pPr>
      <w:r>
        <w:rPr>
          <w:rFonts w:ascii="宋体" w:hAnsi="宋体" w:eastAsia="宋体" w:cs="宋体"/>
          <w:sz w:val="24"/>
        </w:rPr>
        <w:t>根据等级保护测评的工作要求，测评范围覆盖安全管理中心、安全物理环境、安全通信网络、安全区域边界、安全计算环境、安全管理制度，以及云计算安全、移动互联安全、物联网安全、工控制系统安全等扩展方面的要求。</w:t>
      </w:r>
    </w:p>
    <w:p>
      <w:pPr>
        <w:pStyle w:val="48"/>
        <w:keepNext w:val="0"/>
        <w:keepLines w:val="0"/>
        <w:pageBreakBefore w:val="0"/>
        <w:widowControl/>
        <w:kinsoku/>
        <w:wordWrap/>
        <w:overflowPunct/>
        <w:topLinePunct w:val="0"/>
        <w:autoSpaceDE/>
        <w:autoSpaceDN/>
        <w:bidi w:val="0"/>
        <w:adjustRightInd/>
        <w:snapToGrid/>
        <w:ind w:firstLine="480" w:firstLineChars="200"/>
        <w:jc w:val="both"/>
        <w:textAlignment w:val="auto"/>
      </w:pPr>
      <w:r>
        <w:rPr>
          <w:rFonts w:ascii="宋体" w:hAnsi="宋体" w:eastAsia="宋体" w:cs="宋体"/>
          <w:sz w:val="24"/>
        </w:rPr>
        <w:t>等保测评具体服务内容包括：</w:t>
      </w:r>
    </w:p>
    <w:p>
      <w:pPr>
        <w:pStyle w:val="48"/>
        <w:keepNext w:val="0"/>
        <w:keepLines w:val="0"/>
        <w:pageBreakBefore w:val="0"/>
        <w:widowControl/>
        <w:kinsoku/>
        <w:wordWrap/>
        <w:overflowPunct/>
        <w:topLinePunct w:val="0"/>
        <w:autoSpaceDE/>
        <w:autoSpaceDN/>
        <w:bidi w:val="0"/>
        <w:adjustRightInd/>
        <w:snapToGrid/>
        <w:ind w:firstLine="480" w:firstLineChars="200"/>
        <w:jc w:val="both"/>
        <w:textAlignment w:val="auto"/>
      </w:pPr>
      <w:r>
        <w:rPr>
          <w:rFonts w:ascii="宋体" w:hAnsi="宋体" w:eastAsia="宋体" w:cs="宋体"/>
          <w:sz w:val="24"/>
        </w:rPr>
        <w:t>（1）协助业主单位进行信息系统的信息安全等级定级</w:t>
      </w:r>
      <w:r>
        <w:rPr>
          <w:rFonts w:hint="eastAsia" w:ascii="宋体" w:hAnsi="宋体" w:eastAsia="宋体" w:cs="宋体"/>
          <w:sz w:val="24"/>
          <w:lang w:eastAsia="zh-CN"/>
        </w:rPr>
        <w:t>、</w:t>
      </w:r>
      <w:r>
        <w:rPr>
          <w:rFonts w:ascii="宋体" w:hAnsi="宋体" w:eastAsia="宋体" w:cs="宋体"/>
          <w:sz w:val="24"/>
        </w:rPr>
        <w:t>备案</w:t>
      </w:r>
      <w:r>
        <w:rPr>
          <w:rFonts w:hint="eastAsia" w:ascii="宋体" w:hAnsi="宋体" w:eastAsia="宋体" w:cs="宋体"/>
          <w:sz w:val="24"/>
          <w:lang w:val="en-US" w:eastAsia="zh-CN"/>
        </w:rPr>
        <w:t>和数据摸底调查</w:t>
      </w:r>
      <w:r>
        <w:rPr>
          <w:rFonts w:ascii="宋体" w:hAnsi="宋体" w:eastAsia="宋体" w:cs="宋体"/>
          <w:sz w:val="24"/>
        </w:rPr>
        <w:t>工作。</w:t>
      </w:r>
    </w:p>
    <w:p>
      <w:pPr>
        <w:pStyle w:val="48"/>
        <w:keepNext w:val="0"/>
        <w:keepLines w:val="0"/>
        <w:pageBreakBefore w:val="0"/>
        <w:widowControl/>
        <w:kinsoku/>
        <w:wordWrap/>
        <w:overflowPunct/>
        <w:topLinePunct w:val="0"/>
        <w:autoSpaceDE/>
        <w:autoSpaceDN/>
        <w:bidi w:val="0"/>
        <w:adjustRightInd/>
        <w:snapToGrid/>
        <w:ind w:firstLine="480" w:firstLineChars="200"/>
        <w:jc w:val="both"/>
        <w:textAlignment w:val="auto"/>
      </w:pPr>
      <w:r>
        <w:rPr>
          <w:rFonts w:ascii="宋体" w:hAnsi="宋体" w:eastAsia="宋体" w:cs="宋体"/>
          <w:sz w:val="24"/>
        </w:rPr>
        <w:t>（2）差距测评，至少包括：</w:t>
      </w:r>
    </w:p>
    <w:p>
      <w:pPr>
        <w:pStyle w:val="48"/>
        <w:keepNext w:val="0"/>
        <w:keepLines w:val="0"/>
        <w:pageBreakBefore w:val="0"/>
        <w:widowControl/>
        <w:kinsoku/>
        <w:wordWrap/>
        <w:overflowPunct/>
        <w:topLinePunct w:val="0"/>
        <w:autoSpaceDE/>
        <w:autoSpaceDN/>
        <w:bidi w:val="0"/>
        <w:adjustRightInd/>
        <w:snapToGrid/>
        <w:ind w:firstLine="480" w:firstLineChars="200"/>
        <w:jc w:val="both"/>
        <w:textAlignment w:val="auto"/>
      </w:pPr>
      <w:r>
        <w:rPr>
          <w:rFonts w:ascii="宋体" w:hAnsi="宋体" w:eastAsia="宋体" w:cs="宋体"/>
          <w:sz w:val="24"/>
        </w:rPr>
        <w:t>安全技术测评。包括安全物理环境、安全通信网络、安全区域边界、安全计算环境、安全管理中心方面的安全测评。</w:t>
      </w:r>
    </w:p>
    <w:p>
      <w:pPr>
        <w:pStyle w:val="48"/>
        <w:keepNext w:val="0"/>
        <w:keepLines w:val="0"/>
        <w:pageBreakBefore w:val="0"/>
        <w:widowControl/>
        <w:kinsoku/>
        <w:wordWrap/>
        <w:overflowPunct/>
        <w:topLinePunct w:val="0"/>
        <w:autoSpaceDE/>
        <w:autoSpaceDN/>
        <w:bidi w:val="0"/>
        <w:adjustRightInd/>
        <w:snapToGrid/>
        <w:ind w:firstLine="480" w:firstLineChars="200"/>
        <w:jc w:val="both"/>
        <w:textAlignment w:val="auto"/>
      </w:pPr>
      <w:r>
        <w:rPr>
          <w:rFonts w:ascii="宋体" w:hAnsi="宋体" w:eastAsia="宋体" w:cs="宋体"/>
          <w:sz w:val="24"/>
        </w:rPr>
        <w:t>安全管理测评。包括安全管理制度、安全管理机构、安全管理人员、安全系统建设和安全系统运维五个方面的安全测评。</w:t>
      </w:r>
    </w:p>
    <w:p>
      <w:pPr>
        <w:pStyle w:val="48"/>
        <w:keepNext w:val="0"/>
        <w:keepLines w:val="0"/>
        <w:pageBreakBefore w:val="0"/>
        <w:widowControl/>
        <w:kinsoku/>
        <w:wordWrap/>
        <w:overflowPunct/>
        <w:topLinePunct w:val="0"/>
        <w:autoSpaceDE/>
        <w:autoSpaceDN/>
        <w:bidi w:val="0"/>
        <w:adjustRightInd/>
        <w:snapToGrid/>
        <w:ind w:firstLine="480" w:firstLineChars="200"/>
        <w:jc w:val="both"/>
        <w:textAlignment w:val="auto"/>
      </w:pPr>
      <w:r>
        <w:rPr>
          <w:rFonts w:ascii="宋体" w:hAnsi="宋体" w:eastAsia="宋体" w:cs="宋体"/>
          <w:sz w:val="24"/>
        </w:rPr>
        <w:t>形成问题汇总及整改意见报告。依据测评结果，对等级测评结果进行汇总统计（测评项符合情况及比例、单元测评结果符合情况比例以及整体测评结果）；通过对信息系统基本安全保护状态的分析给出初步测评结论。根据测评结果制定《系统等级保护测评问题汇总及整改意见报告》，列出被测信息系统中存在的主要问题、整改意见。</w:t>
      </w:r>
    </w:p>
    <w:p>
      <w:pPr>
        <w:pStyle w:val="48"/>
        <w:keepNext w:val="0"/>
        <w:keepLines w:val="0"/>
        <w:pageBreakBefore w:val="0"/>
        <w:widowControl/>
        <w:kinsoku/>
        <w:wordWrap/>
        <w:overflowPunct/>
        <w:topLinePunct w:val="0"/>
        <w:autoSpaceDE/>
        <w:autoSpaceDN/>
        <w:bidi w:val="0"/>
        <w:adjustRightInd/>
        <w:snapToGrid/>
        <w:ind w:firstLine="480" w:firstLineChars="200"/>
        <w:jc w:val="both"/>
        <w:textAlignment w:val="auto"/>
      </w:pPr>
      <w:r>
        <w:rPr>
          <w:rFonts w:ascii="宋体" w:hAnsi="宋体" w:eastAsia="宋体" w:cs="宋体"/>
          <w:sz w:val="24"/>
        </w:rPr>
        <w:t>（3）协助完成整改工作。依据整改方案，为安全整改的各项工作提供技术咨询服务。</w:t>
      </w:r>
    </w:p>
    <w:p>
      <w:pPr>
        <w:pStyle w:val="48"/>
        <w:keepNext w:val="0"/>
        <w:keepLines w:val="0"/>
        <w:pageBreakBefore w:val="0"/>
        <w:widowControl/>
        <w:kinsoku/>
        <w:wordWrap/>
        <w:overflowPunct/>
        <w:topLinePunct w:val="0"/>
        <w:autoSpaceDE/>
        <w:autoSpaceDN/>
        <w:bidi w:val="0"/>
        <w:adjustRightInd/>
        <w:snapToGrid/>
        <w:ind w:firstLine="480" w:firstLineChars="200"/>
        <w:jc w:val="both"/>
        <w:textAlignment w:val="auto"/>
      </w:pPr>
      <w:r>
        <w:rPr>
          <w:rFonts w:ascii="宋体" w:hAnsi="宋体" w:eastAsia="宋体" w:cs="宋体"/>
          <w:sz w:val="24"/>
        </w:rPr>
        <w:t>（4）等级测评：</w:t>
      </w:r>
    </w:p>
    <w:p>
      <w:pPr>
        <w:pStyle w:val="48"/>
        <w:keepNext w:val="0"/>
        <w:keepLines w:val="0"/>
        <w:pageBreakBefore w:val="0"/>
        <w:widowControl/>
        <w:kinsoku/>
        <w:wordWrap/>
        <w:overflowPunct/>
        <w:topLinePunct w:val="0"/>
        <w:autoSpaceDE/>
        <w:autoSpaceDN/>
        <w:bidi w:val="0"/>
        <w:adjustRightInd/>
        <w:snapToGrid/>
        <w:ind w:firstLine="480" w:firstLineChars="200"/>
        <w:jc w:val="both"/>
        <w:textAlignment w:val="auto"/>
      </w:pPr>
      <w:r>
        <w:rPr>
          <w:rFonts w:ascii="宋体" w:hAnsi="宋体" w:eastAsia="宋体" w:cs="宋体"/>
          <w:sz w:val="24"/>
        </w:rPr>
        <w:t>按照等级保护相关标准对系统从安全技术、安全管理等方面进行等级测评工作。</w:t>
      </w:r>
    </w:p>
    <w:p>
      <w:pPr>
        <w:pStyle w:val="48"/>
        <w:keepNext w:val="0"/>
        <w:keepLines w:val="0"/>
        <w:pageBreakBefore w:val="0"/>
        <w:widowControl/>
        <w:kinsoku/>
        <w:wordWrap/>
        <w:overflowPunct/>
        <w:topLinePunct w:val="0"/>
        <w:autoSpaceDE/>
        <w:autoSpaceDN/>
        <w:bidi w:val="0"/>
        <w:adjustRightInd/>
        <w:snapToGrid/>
        <w:ind w:firstLine="480" w:firstLineChars="200"/>
        <w:jc w:val="both"/>
        <w:textAlignment w:val="auto"/>
      </w:pPr>
      <w:r>
        <w:rPr>
          <w:rFonts w:ascii="宋体" w:hAnsi="宋体" w:eastAsia="宋体" w:cs="宋体"/>
          <w:sz w:val="24"/>
        </w:rPr>
        <w:t>编制测评报告，制定并提交</w:t>
      </w:r>
      <w:r>
        <w:rPr>
          <w:rFonts w:hint="eastAsia" w:ascii="宋体" w:hAnsi="宋体" w:eastAsia="宋体" w:cs="宋体"/>
          <w:sz w:val="24"/>
          <w:lang w:val="en-US" w:eastAsia="zh-CN"/>
        </w:rPr>
        <w:t>2025版</w:t>
      </w:r>
      <w:r>
        <w:rPr>
          <w:rFonts w:ascii="宋体" w:hAnsi="宋体" w:eastAsia="宋体" w:cs="宋体"/>
          <w:sz w:val="24"/>
        </w:rPr>
        <w:t>《网络安全等级测评报告》，报告需提交公安机关有关部门备案，且能满足合规性要求。</w:t>
      </w:r>
    </w:p>
    <w:p>
      <w:pPr>
        <w:pStyle w:val="48"/>
        <w:keepNext w:val="0"/>
        <w:keepLines w:val="0"/>
        <w:pageBreakBefore w:val="0"/>
        <w:widowControl/>
        <w:kinsoku/>
        <w:wordWrap/>
        <w:overflowPunct/>
        <w:topLinePunct w:val="0"/>
        <w:autoSpaceDE/>
        <w:autoSpaceDN/>
        <w:bidi w:val="0"/>
        <w:adjustRightInd/>
        <w:snapToGrid/>
        <w:ind w:firstLine="480" w:firstLineChars="200"/>
        <w:jc w:val="both"/>
        <w:textAlignment w:val="auto"/>
      </w:pPr>
      <w:r>
        <w:rPr>
          <w:rFonts w:ascii="宋体" w:hAnsi="宋体" w:eastAsia="宋体" w:cs="宋体"/>
          <w:sz w:val="24"/>
        </w:rPr>
        <w:t>（5）漏洞扫描；</w:t>
      </w:r>
    </w:p>
    <w:p>
      <w:pPr>
        <w:pStyle w:val="48"/>
        <w:keepNext w:val="0"/>
        <w:keepLines w:val="0"/>
        <w:pageBreakBefore w:val="0"/>
        <w:widowControl/>
        <w:kinsoku/>
        <w:wordWrap/>
        <w:overflowPunct/>
        <w:topLinePunct w:val="0"/>
        <w:autoSpaceDE/>
        <w:autoSpaceDN/>
        <w:bidi w:val="0"/>
        <w:adjustRightInd/>
        <w:snapToGrid/>
        <w:ind w:firstLine="480" w:firstLineChars="200"/>
        <w:jc w:val="both"/>
        <w:textAlignment w:val="auto"/>
      </w:pPr>
      <w:r>
        <w:rPr>
          <w:rFonts w:ascii="宋体" w:hAnsi="宋体" w:eastAsia="宋体" w:cs="宋体"/>
          <w:sz w:val="24"/>
        </w:rPr>
        <w:t>（6）渗透测试；模拟黑客的攻击行为，在不影响业务的情况下从攻击者的角度来发现系统存在的安全隐患和网络风险；</w:t>
      </w:r>
    </w:p>
    <w:p>
      <w:pPr>
        <w:pStyle w:val="48"/>
        <w:keepNext w:val="0"/>
        <w:keepLines w:val="0"/>
        <w:pageBreakBefore w:val="0"/>
        <w:widowControl/>
        <w:kinsoku/>
        <w:wordWrap/>
        <w:overflowPunct/>
        <w:topLinePunct w:val="0"/>
        <w:autoSpaceDE/>
        <w:autoSpaceDN/>
        <w:bidi w:val="0"/>
        <w:adjustRightInd/>
        <w:snapToGrid/>
        <w:ind w:firstLine="482" w:firstLineChars="200"/>
        <w:jc w:val="left"/>
        <w:textAlignment w:val="auto"/>
      </w:pPr>
      <w:r>
        <w:rPr>
          <w:rFonts w:ascii="宋体" w:hAnsi="宋体" w:eastAsia="宋体" w:cs="宋体"/>
          <w:b/>
          <w:sz w:val="24"/>
        </w:rPr>
        <w:t>3、测评服务内容指标</w:t>
      </w:r>
    </w:p>
    <w:p>
      <w:pPr>
        <w:pStyle w:val="48"/>
        <w:ind w:firstLine="400"/>
        <w:jc w:val="both"/>
      </w:pPr>
      <w:r>
        <w:rPr>
          <w:rFonts w:ascii="宋体" w:hAnsi="宋体" w:eastAsia="宋体" w:cs="宋体"/>
          <w:b/>
          <w:sz w:val="24"/>
        </w:rPr>
        <w:t>3.1三级系统通用指标要求</w:t>
      </w:r>
    </w:p>
    <w:tbl>
      <w:tblPr>
        <w:tblStyle w:val="18"/>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08"/>
        <w:gridCol w:w="1113"/>
        <w:gridCol w:w="7354"/>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b/>
                <w:sz w:val="24"/>
              </w:rPr>
              <w:t>分类</w:t>
            </w:r>
          </w:p>
        </w:tc>
        <w:tc>
          <w:tcPr>
            <w:tcW w:w="111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b/>
                <w:sz w:val="24"/>
              </w:rPr>
              <w:t>子类</w:t>
            </w:r>
          </w:p>
        </w:tc>
        <w:tc>
          <w:tcPr>
            <w:tcW w:w="735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b/>
                <w:sz w:val="24"/>
              </w:rPr>
              <w:t>基本要求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安全物理环境</w:t>
            </w: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物理位置选择</w:t>
            </w:r>
          </w:p>
        </w:tc>
        <w:tc>
          <w:tcPr>
            <w:tcW w:w="73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a) 机房场地应选择在具有防震、防风和防雨等能力的建筑内；</w:t>
            </w:r>
            <w:r>
              <w:br w:type="textWrapping"/>
            </w:r>
            <w:r>
              <w:rPr>
                <w:rFonts w:ascii="宋体" w:hAnsi="宋体" w:eastAsia="宋体" w:cs="宋体"/>
                <w:sz w:val="24"/>
              </w:rPr>
              <w:t>b) 机房场地应避免设在建筑物的顶层或地下室，否则应加强防水和防潮措施。</w:t>
            </w:r>
          </w:p>
        </w:tc>
      </w:tr>
      <w:tr>
        <w:tblPrEx>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物理访问控制</w:t>
            </w:r>
          </w:p>
        </w:tc>
        <w:tc>
          <w:tcPr>
            <w:tcW w:w="73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机房出入口应配置电子门禁系统，控制、鉴别和记录进入的人员。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防盗窃和防破坏</w:t>
            </w:r>
          </w:p>
        </w:tc>
        <w:tc>
          <w:tcPr>
            <w:tcW w:w="73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a) 应将设备或主要部件进行固定，并设置明显的不易除去的标识;</w:t>
            </w:r>
            <w:r>
              <w:br w:type="textWrapping"/>
            </w:r>
            <w:r>
              <w:rPr>
                <w:rFonts w:ascii="宋体" w:hAnsi="宋体" w:eastAsia="宋体" w:cs="宋体"/>
                <w:sz w:val="24"/>
              </w:rPr>
              <w:t>b) 应将通信线缆铺设在隐蔽安全处。</w:t>
            </w:r>
            <w:r>
              <w:br w:type="textWrapping"/>
            </w:r>
            <w:r>
              <w:rPr>
                <w:rFonts w:ascii="宋体" w:hAnsi="宋体" w:eastAsia="宋体" w:cs="宋体"/>
                <w:sz w:val="24"/>
              </w:rPr>
              <w:t>c）应设置机房防盗报警系统或设置有专人值守的视频监控系统。</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防雷击</w:t>
            </w:r>
          </w:p>
        </w:tc>
        <w:tc>
          <w:tcPr>
            <w:tcW w:w="73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a) 应将各类机柜、设施和设备等通过接地系统安全接地。</w:t>
            </w:r>
            <w:r>
              <w:br w:type="textWrapping"/>
            </w:r>
            <w:r>
              <w:rPr>
                <w:rFonts w:ascii="宋体" w:hAnsi="宋体" w:eastAsia="宋体" w:cs="宋体"/>
                <w:sz w:val="24"/>
              </w:rPr>
              <w:t>b) 应采取措施防止感应雷，例如设置防雷保安器或过压保护装置等。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防火</w:t>
            </w:r>
          </w:p>
        </w:tc>
        <w:tc>
          <w:tcPr>
            <w:tcW w:w="73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a) 机房应设置火灾自动消防系统，能够自动检测火情、自动报警，并自动灭火;</w:t>
            </w:r>
            <w:r>
              <w:br w:type="textWrapping"/>
            </w:r>
            <w:r>
              <w:rPr>
                <w:rFonts w:ascii="宋体" w:hAnsi="宋体" w:eastAsia="宋体" w:cs="宋体"/>
                <w:sz w:val="24"/>
              </w:rPr>
              <w:t>b) 机房及相关的工作房间和辅助房应采用具有耐火等级的建筑材料;</w:t>
            </w:r>
            <w:r>
              <w:br w:type="textWrapping"/>
            </w:r>
            <w:r>
              <w:rPr>
                <w:rFonts w:ascii="宋体" w:hAnsi="宋体" w:eastAsia="宋体" w:cs="宋体"/>
                <w:sz w:val="24"/>
              </w:rPr>
              <w:t>c）应对机房划分区域进行管理，区域和区域之间设置隔离防火措施。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防水和防潮</w:t>
            </w:r>
          </w:p>
        </w:tc>
        <w:tc>
          <w:tcPr>
            <w:tcW w:w="73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a) 应采取措施防止雨水通过机房窗户、屋顶和墙壁渗透;</w:t>
            </w:r>
            <w:r>
              <w:br w:type="textWrapping"/>
            </w:r>
            <w:r>
              <w:rPr>
                <w:rFonts w:ascii="宋体" w:hAnsi="宋体" w:eastAsia="宋体" w:cs="宋体"/>
                <w:sz w:val="24"/>
              </w:rPr>
              <w:t>b) 应采取措施防止机房内水蒸气结露和地下积水的转移与渗透;</w:t>
            </w:r>
            <w:r>
              <w:br w:type="textWrapping"/>
            </w:r>
            <w:r>
              <w:rPr>
                <w:rFonts w:ascii="宋体" w:hAnsi="宋体" w:eastAsia="宋体" w:cs="宋体"/>
                <w:sz w:val="24"/>
              </w:rPr>
              <w:t>c）应安装对水敏感的检测仪表或元件，对机房进行防水检测和报警。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防静电</w:t>
            </w:r>
          </w:p>
        </w:tc>
        <w:tc>
          <w:tcPr>
            <w:tcW w:w="73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a) 应采用防静电地板或地面并采用必要的接地防静电措施;</w:t>
            </w:r>
            <w:r>
              <w:br w:type="textWrapping"/>
            </w:r>
            <w:r>
              <w:rPr>
                <w:rFonts w:ascii="宋体" w:hAnsi="宋体" w:eastAsia="宋体" w:cs="宋体"/>
                <w:sz w:val="24"/>
              </w:rPr>
              <w:t>b）应采取措施防止静电的产生，例如采用静电消除器、佩戴防静电手环等。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温湿度控制</w:t>
            </w:r>
          </w:p>
        </w:tc>
        <w:tc>
          <w:tcPr>
            <w:tcW w:w="73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应设置温湿度自动调节设施，使机房温湿度的变化在设备运行所允许的范围之内。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电力供应</w:t>
            </w:r>
          </w:p>
        </w:tc>
        <w:tc>
          <w:tcPr>
            <w:tcW w:w="73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a) 应在机房供电线路上配置稳压器和过电压防护设备;</w:t>
            </w:r>
            <w:r>
              <w:br w:type="textWrapping"/>
            </w:r>
            <w:r>
              <w:rPr>
                <w:rFonts w:ascii="宋体" w:hAnsi="宋体" w:eastAsia="宋体" w:cs="宋体"/>
                <w:sz w:val="24"/>
              </w:rPr>
              <w:t>b) 应提供短期的备用电力供应，至少满足设备在断电情况下的正常运行要求;</w:t>
            </w:r>
            <w:r>
              <w:br w:type="textWrapping"/>
            </w:r>
            <w:r>
              <w:rPr>
                <w:rFonts w:ascii="宋体" w:hAnsi="宋体" w:eastAsia="宋体" w:cs="宋体"/>
                <w:sz w:val="24"/>
              </w:rPr>
              <w:t>c）应设置冗余或并行的电力电缆线路为计算机系统供电。</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电磁防护</w:t>
            </w:r>
          </w:p>
        </w:tc>
        <w:tc>
          <w:tcPr>
            <w:tcW w:w="73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a) 电源线和通信线缆应隔离铺设，避免互相干扰;</w:t>
            </w:r>
            <w:r>
              <w:br w:type="textWrapping"/>
            </w:r>
            <w:r>
              <w:rPr>
                <w:rFonts w:ascii="宋体" w:hAnsi="宋体" w:eastAsia="宋体" w:cs="宋体"/>
                <w:sz w:val="24"/>
              </w:rPr>
              <w:t>b）应对关键设备实施电磁屏蔽。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安全通信网络</w:t>
            </w: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网络架构</w:t>
            </w:r>
          </w:p>
        </w:tc>
        <w:tc>
          <w:tcPr>
            <w:tcW w:w="73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a) 应保证网络设备的业务处理能力满足业务高峰期需要;</w:t>
            </w:r>
            <w:r>
              <w:br w:type="textWrapping"/>
            </w:r>
            <w:r>
              <w:rPr>
                <w:rFonts w:ascii="宋体" w:hAnsi="宋体" w:eastAsia="宋体" w:cs="宋体"/>
                <w:sz w:val="24"/>
              </w:rPr>
              <w:t>b) 应保证网络各个部分的带宽满足业务高峰期需要;</w:t>
            </w:r>
            <w:r>
              <w:br w:type="textWrapping"/>
            </w:r>
            <w:r>
              <w:rPr>
                <w:rFonts w:ascii="宋体" w:hAnsi="宋体" w:eastAsia="宋体" w:cs="宋体"/>
                <w:sz w:val="24"/>
              </w:rPr>
              <w:t>c) 应划分不同的网络区域，并按照方便管理和控制的原则为各网络区域分配地址;</w:t>
            </w:r>
            <w:r>
              <w:br w:type="textWrapping"/>
            </w:r>
            <w:r>
              <w:rPr>
                <w:rFonts w:ascii="宋体" w:hAnsi="宋体" w:eastAsia="宋体" w:cs="宋体"/>
                <w:sz w:val="24"/>
              </w:rPr>
              <w:t>d) 应避免将重要网络区域部署在边界处，重要网络区域与其他网络区域之间应采取可靠的技术隔离手段;</w:t>
            </w:r>
            <w:r>
              <w:br w:type="textWrapping"/>
            </w:r>
            <w:r>
              <w:rPr>
                <w:rFonts w:ascii="宋体" w:hAnsi="宋体" w:eastAsia="宋体" w:cs="宋体"/>
                <w:sz w:val="24"/>
              </w:rPr>
              <w:t>e) 应提供通信线路、关键网络设备和关键计算设备的硬件冗余，保证系统的可用性。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通信传输</w:t>
            </w:r>
          </w:p>
        </w:tc>
        <w:tc>
          <w:tcPr>
            <w:tcW w:w="73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a) 应采用校验技术或密码技术保证通信过程中数据的完整性;</w:t>
            </w:r>
            <w:r>
              <w:br w:type="textWrapping"/>
            </w:r>
            <w:r>
              <w:rPr>
                <w:rFonts w:ascii="宋体" w:hAnsi="宋体" w:eastAsia="宋体" w:cs="宋体"/>
                <w:sz w:val="24"/>
              </w:rPr>
              <w:t>b) 应采用密码技术保证通信过程中数据的保密性。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可信验证</w:t>
            </w:r>
          </w:p>
        </w:tc>
        <w:tc>
          <w:tcPr>
            <w:tcW w:w="73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可基于可信根对通信设备的系统引导程序、系统程序、重要配置参数和通信应用程序等进行可信验证，应用程序的关键执行环节进行动态可信验证，在检测到其可信性受到破坏后进行报警，并将验证结果形成审计记录送至安全管理中心。</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安全区域边界</w:t>
            </w: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边界防护</w:t>
            </w:r>
          </w:p>
        </w:tc>
        <w:tc>
          <w:tcPr>
            <w:tcW w:w="73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a) 应保证跨越边界的访问和数据流通过边界设备提供的受控接口进行通信;</w:t>
            </w:r>
            <w:r>
              <w:br w:type="textWrapping"/>
            </w:r>
            <w:r>
              <w:rPr>
                <w:rFonts w:ascii="宋体" w:hAnsi="宋体" w:eastAsia="宋体" w:cs="宋体"/>
                <w:sz w:val="24"/>
              </w:rPr>
              <w:t>b) 应能够对非授权设备私自联到内部网络的行为进行检查或限制;</w:t>
            </w:r>
            <w:r>
              <w:br w:type="textWrapping"/>
            </w:r>
            <w:r>
              <w:rPr>
                <w:rFonts w:ascii="宋体" w:hAnsi="宋体" w:eastAsia="宋体" w:cs="宋体"/>
                <w:sz w:val="24"/>
              </w:rPr>
              <w:t>c) 应能够对内部用户非授权联到外部网络的行为进行检查或限制;</w:t>
            </w:r>
            <w:r>
              <w:br w:type="textWrapping"/>
            </w:r>
            <w:r>
              <w:rPr>
                <w:rFonts w:ascii="宋体" w:hAnsi="宋体" w:eastAsia="宋体" w:cs="宋体"/>
                <w:sz w:val="24"/>
              </w:rPr>
              <w:t>d) 应限制无线网络的使用,保证无线网络通过受控的边界设备接入内部网络。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访问控制</w:t>
            </w:r>
          </w:p>
        </w:tc>
        <w:tc>
          <w:tcPr>
            <w:tcW w:w="73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a) 应在网络边界或区域之间根据访问控制策略设置访问控制规则，默认情况下除允许通信外受控接口拒绝所有通信;</w:t>
            </w:r>
            <w:r>
              <w:br w:type="textWrapping"/>
            </w:r>
            <w:r>
              <w:rPr>
                <w:rFonts w:ascii="宋体" w:hAnsi="宋体" w:eastAsia="宋体" w:cs="宋体"/>
                <w:sz w:val="24"/>
              </w:rPr>
              <w:t>b) 应删除多余或无效的访问控制规则，优化访问控制列表，并保证访问控制规则数量最小化;</w:t>
            </w:r>
            <w:r>
              <w:br w:type="textWrapping"/>
            </w:r>
            <w:r>
              <w:rPr>
                <w:rFonts w:ascii="宋体" w:hAnsi="宋体" w:eastAsia="宋体" w:cs="宋体"/>
                <w:sz w:val="24"/>
              </w:rPr>
              <w:t>c) 应对源地址、目的地址、源端口、目的端口和协议等进行检查，以允许/拒绝数据包进出;</w:t>
            </w:r>
            <w:r>
              <w:br w:type="textWrapping"/>
            </w:r>
            <w:r>
              <w:rPr>
                <w:rFonts w:ascii="宋体" w:hAnsi="宋体" w:eastAsia="宋体" w:cs="宋体"/>
                <w:sz w:val="24"/>
              </w:rPr>
              <w:t>d) 应能根据会话状态信息为进出数据流提供明确的允许/拒绝访问的能力;</w:t>
            </w:r>
            <w:r>
              <w:br w:type="textWrapping"/>
            </w:r>
            <w:r>
              <w:rPr>
                <w:rFonts w:ascii="宋体" w:hAnsi="宋体" w:eastAsia="宋体" w:cs="宋体"/>
                <w:sz w:val="24"/>
              </w:rPr>
              <w:t>e) 应对进出网络的数据流实现基于应用协议和应用内容的访问控制。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入侵防范</w:t>
            </w:r>
          </w:p>
        </w:tc>
        <w:tc>
          <w:tcPr>
            <w:tcW w:w="73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a) 应在关键网络节点处检测、防止或限制从外部发起的网络攻击行为;</w:t>
            </w:r>
            <w:r>
              <w:br w:type="textWrapping"/>
            </w:r>
            <w:r>
              <w:rPr>
                <w:rFonts w:ascii="宋体" w:hAnsi="宋体" w:eastAsia="宋体" w:cs="宋体"/>
                <w:sz w:val="24"/>
              </w:rPr>
              <w:t>b) 应在关键网络节点处检测、防止或限制从内部发起的网络攻击行为;</w:t>
            </w:r>
            <w:r>
              <w:br w:type="textWrapping"/>
            </w:r>
            <w:r>
              <w:rPr>
                <w:rFonts w:ascii="宋体" w:hAnsi="宋体" w:eastAsia="宋体" w:cs="宋体"/>
                <w:sz w:val="24"/>
              </w:rPr>
              <w:t>c) 应采取技术措施对网络行为进行分析，实现对网络攻击特别是新型网络攻击行为的分析;</w:t>
            </w:r>
            <w:r>
              <w:br w:type="textWrapping"/>
            </w:r>
            <w:r>
              <w:rPr>
                <w:rFonts w:ascii="宋体" w:hAnsi="宋体" w:eastAsia="宋体" w:cs="宋体"/>
                <w:sz w:val="24"/>
              </w:rPr>
              <w:t>d) 当检测到攻击行为时，记录攻击源IP、攻击类型、攻击目标、攻击时间，在发生严重入侵事件时应提供报警。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恶意代码和垃圾邮件防范</w:t>
            </w:r>
          </w:p>
        </w:tc>
        <w:tc>
          <w:tcPr>
            <w:tcW w:w="73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a) 应在关键网络节点处对恶意代码进行检测和清除，并维护恶意代码防护机制的升级和更新;</w:t>
            </w:r>
            <w:r>
              <w:br w:type="textWrapping"/>
            </w:r>
            <w:r>
              <w:rPr>
                <w:rFonts w:ascii="宋体" w:hAnsi="宋体" w:eastAsia="宋体" w:cs="宋体"/>
                <w:sz w:val="24"/>
              </w:rPr>
              <w:t>b) 应在关键网络节点处对垃圾邮件进行检测和防护，并维护垃圾邮件防护机制的升级和更新。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安全审计</w:t>
            </w:r>
          </w:p>
        </w:tc>
        <w:tc>
          <w:tcPr>
            <w:tcW w:w="73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a) 应在网络边界、重要网络节点进行安全审计，审计覆盖到每个用户，对重要的用户行为和重要安全事件进行审计;</w:t>
            </w:r>
            <w:r>
              <w:br w:type="textWrapping"/>
            </w:r>
            <w:r>
              <w:rPr>
                <w:rFonts w:ascii="宋体" w:hAnsi="宋体" w:eastAsia="宋体" w:cs="宋体"/>
                <w:sz w:val="24"/>
              </w:rPr>
              <w:t>b) 审计记录应包括事件的日期和时间、用户、事件类型、事件是否成功及其他与审计相关的信息;</w:t>
            </w:r>
            <w:r>
              <w:br w:type="textWrapping"/>
            </w:r>
            <w:r>
              <w:rPr>
                <w:rFonts w:ascii="宋体" w:hAnsi="宋体" w:eastAsia="宋体" w:cs="宋体"/>
                <w:sz w:val="24"/>
              </w:rPr>
              <w:t>c) 应对审计记录进行保护，定期备份，避免受到未预期的删除、修改或覆盖等;</w:t>
            </w:r>
            <w:r>
              <w:br w:type="textWrapping"/>
            </w:r>
            <w:r>
              <w:rPr>
                <w:rFonts w:ascii="宋体" w:hAnsi="宋体" w:eastAsia="宋体" w:cs="宋体"/>
                <w:sz w:val="24"/>
              </w:rPr>
              <w:t>d) 应能对远程访问的用户行为、访问互联网的用户行为等单独进行行为审计和数据分析。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可信验证</w:t>
            </w:r>
          </w:p>
        </w:tc>
        <w:tc>
          <w:tcPr>
            <w:tcW w:w="73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可基于可信根对边界设备的系统引导程序、系统程序、重要配置参数和边界防护应用程序等进行可信验证，并在应用程序的关键执行环节进行动态可信验证，在检测到其可信性受到破坏后进行报警，并将验证结果形成审计记录送至安全管理中心。</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安全计算环境</w:t>
            </w: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身份鉴别</w:t>
            </w:r>
          </w:p>
        </w:tc>
        <w:tc>
          <w:tcPr>
            <w:tcW w:w="73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a) 应对登录的用户进行身份标识和鉴别，身份标识具有唯一性，身份鉴别信息具有复杂度要求并定期更换;</w:t>
            </w:r>
            <w:r>
              <w:br w:type="textWrapping"/>
            </w:r>
            <w:r>
              <w:rPr>
                <w:rFonts w:ascii="宋体" w:hAnsi="宋体" w:eastAsia="宋体" w:cs="宋体"/>
                <w:sz w:val="24"/>
              </w:rPr>
              <w:t>b) 应具有登录失败处理功能，应配置并启用结束会话、限制非法登录次数和当登录连接超时自动退出等相关措施;</w:t>
            </w:r>
            <w:r>
              <w:br w:type="textWrapping"/>
            </w:r>
            <w:r>
              <w:rPr>
                <w:rFonts w:ascii="宋体" w:hAnsi="宋体" w:eastAsia="宋体" w:cs="宋体"/>
                <w:sz w:val="24"/>
              </w:rPr>
              <w:t>c) 当进行远程管理时，应采取必要措施防止鉴别信息在网络传输过程中被窃听;</w:t>
            </w:r>
            <w:r>
              <w:br w:type="textWrapping"/>
            </w:r>
            <w:r>
              <w:rPr>
                <w:rFonts w:ascii="宋体" w:hAnsi="宋体" w:eastAsia="宋体" w:cs="宋体"/>
                <w:sz w:val="24"/>
              </w:rPr>
              <w:t>d) 应采用口令、密码技术、生物技术等两种或两种以上组合的鉴别技术对用户进行身份鉴别，且其中一种鉴别技术至少应使用密码技术来实现。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访问控制</w:t>
            </w:r>
          </w:p>
        </w:tc>
        <w:tc>
          <w:tcPr>
            <w:tcW w:w="73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a) 应对登录的用户分配账户和权限;</w:t>
            </w:r>
            <w:r>
              <w:br w:type="textWrapping"/>
            </w:r>
            <w:r>
              <w:rPr>
                <w:rFonts w:ascii="宋体" w:hAnsi="宋体" w:eastAsia="宋体" w:cs="宋体"/>
                <w:sz w:val="24"/>
              </w:rPr>
              <w:t>b) 应重命名或删除默认账户，修改默认账户的默认口令;</w:t>
            </w:r>
            <w:r>
              <w:br w:type="textWrapping"/>
            </w:r>
            <w:r>
              <w:rPr>
                <w:rFonts w:ascii="宋体" w:hAnsi="宋体" w:eastAsia="宋体" w:cs="宋体"/>
                <w:sz w:val="24"/>
              </w:rPr>
              <w:t xml:space="preserve">c) 应及时删除或停用多余的、过期的账户，避免共享账户的存在; </w:t>
            </w:r>
            <w:r>
              <w:br w:type="textWrapping"/>
            </w:r>
            <w:r>
              <w:rPr>
                <w:rFonts w:ascii="宋体" w:hAnsi="宋体" w:eastAsia="宋体" w:cs="宋体"/>
                <w:sz w:val="24"/>
              </w:rPr>
              <w:t>d) 应授予管理用户所需的最小权限，实现管理用户的权限分离;</w:t>
            </w:r>
            <w:r>
              <w:br w:type="textWrapping"/>
            </w:r>
            <w:r>
              <w:rPr>
                <w:rFonts w:ascii="宋体" w:hAnsi="宋体" w:eastAsia="宋体" w:cs="宋体"/>
                <w:sz w:val="24"/>
              </w:rPr>
              <w:t>e) 应由授权主体配置访问控制策略，访问控制策略规定主体对客体的访问规则;</w:t>
            </w:r>
            <w:r>
              <w:br w:type="textWrapping"/>
            </w:r>
            <w:r>
              <w:rPr>
                <w:rFonts w:ascii="宋体" w:hAnsi="宋体" w:eastAsia="宋体" w:cs="宋体"/>
                <w:sz w:val="24"/>
              </w:rPr>
              <w:t>f) 访问控制的粒度应达到主体为用户级或进程级，客体为文件、数据库表级;</w:t>
            </w:r>
            <w:r>
              <w:br w:type="textWrapping"/>
            </w:r>
            <w:r>
              <w:rPr>
                <w:rFonts w:ascii="宋体" w:hAnsi="宋体" w:eastAsia="宋体" w:cs="宋体"/>
                <w:sz w:val="24"/>
              </w:rPr>
              <w:t>g) 应对重要主体和客体设置安全标记，并控制主体对有安全标记信息资源的访问。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安全审计</w:t>
            </w:r>
          </w:p>
        </w:tc>
        <w:tc>
          <w:tcPr>
            <w:tcW w:w="73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a) 应启用安全审计功能，审计覆盖到每个用户，对重要的用户行为和重要安全事件进行审计;</w:t>
            </w:r>
            <w:r>
              <w:br w:type="textWrapping"/>
            </w:r>
            <w:r>
              <w:rPr>
                <w:rFonts w:ascii="宋体" w:hAnsi="宋体" w:eastAsia="宋体" w:cs="宋体"/>
                <w:sz w:val="24"/>
              </w:rPr>
              <w:t>b) 审计记录应包括事件的日期和时间、用户、事件类型、事件是否成功及其他与审计相关的信息;</w:t>
            </w:r>
            <w:r>
              <w:br w:type="textWrapping"/>
            </w:r>
            <w:r>
              <w:rPr>
                <w:rFonts w:ascii="宋体" w:hAnsi="宋体" w:eastAsia="宋体" w:cs="宋体"/>
                <w:sz w:val="24"/>
              </w:rPr>
              <w:t>c) 应对审计记录进行保护，定期备份，避免受到未预期的删除、修改或覆盖等;</w:t>
            </w:r>
            <w:r>
              <w:br w:type="textWrapping"/>
            </w:r>
            <w:r>
              <w:rPr>
                <w:rFonts w:ascii="宋体" w:hAnsi="宋体" w:eastAsia="宋体" w:cs="宋体"/>
                <w:sz w:val="24"/>
              </w:rPr>
              <w:t>d）应对审计进程进行保护，防止未经授权的中断。</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入侵防范</w:t>
            </w:r>
          </w:p>
        </w:tc>
        <w:tc>
          <w:tcPr>
            <w:tcW w:w="73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a) 应遵循最小安装的原则，仅安装需要的组件和应用程序;</w:t>
            </w:r>
            <w:r>
              <w:br w:type="textWrapping"/>
            </w:r>
            <w:r>
              <w:rPr>
                <w:rFonts w:ascii="宋体" w:hAnsi="宋体" w:eastAsia="宋体" w:cs="宋体"/>
                <w:sz w:val="24"/>
              </w:rPr>
              <w:t>b) 应关闭不需要的系统服务、默认共享和高危端口;</w:t>
            </w:r>
            <w:r>
              <w:br w:type="textWrapping"/>
            </w:r>
            <w:r>
              <w:rPr>
                <w:rFonts w:ascii="宋体" w:hAnsi="宋体" w:eastAsia="宋体" w:cs="宋体"/>
                <w:sz w:val="24"/>
              </w:rPr>
              <w:t>c) 应通过设定终端接入方式或网络地址范围对通过网络进行管理的管理终端进行限制;</w:t>
            </w:r>
            <w:r>
              <w:br w:type="textWrapping"/>
            </w:r>
            <w:r>
              <w:rPr>
                <w:rFonts w:ascii="宋体" w:hAnsi="宋体" w:eastAsia="宋体" w:cs="宋体"/>
                <w:sz w:val="24"/>
              </w:rPr>
              <w:t>d) 应提供数据有效性检验功能，保证通过人机接口输入或通过通信接口输入的内容符合系统设定要求;</w:t>
            </w:r>
            <w:r>
              <w:br w:type="textWrapping"/>
            </w:r>
            <w:r>
              <w:rPr>
                <w:rFonts w:ascii="宋体" w:hAnsi="宋体" w:eastAsia="宋体" w:cs="宋体"/>
                <w:sz w:val="24"/>
              </w:rPr>
              <w:t>e) 应能发现可能存在的已知漏洞，并在经过充分测试评估后，及时修补漏洞;</w:t>
            </w:r>
            <w:r>
              <w:br w:type="textWrapping"/>
            </w:r>
            <w:r>
              <w:rPr>
                <w:rFonts w:ascii="宋体" w:hAnsi="宋体" w:eastAsia="宋体" w:cs="宋体"/>
                <w:sz w:val="24"/>
              </w:rPr>
              <w:t>f) 应能够检测到对重要节点进行入侵的行为，并在发生严重入侵事件时提供报警。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恶意代码防范</w:t>
            </w:r>
          </w:p>
        </w:tc>
        <w:tc>
          <w:tcPr>
            <w:tcW w:w="73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应采用免受恶意代码攻击的技术措施或主动免疫可信验证机制及时识别入侵和病毒行为，并将其有效阻断。</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可信验证</w:t>
            </w:r>
          </w:p>
        </w:tc>
        <w:tc>
          <w:tcPr>
            <w:tcW w:w="73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可基于可信根对计算设备的系统引导程序、系统程序、重要配置参数和应用程序等进行可信验证，并在应用程序的关键执行环节进行动态可信验证，在检测到其可信性受到破坏后进行报警，并将验证结果形成审计记录送至安全管理中心。</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数据完整性</w:t>
            </w:r>
          </w:p>
        </w:tc>
        <w:tc>
          <w:tcPr>
            <w:tcW w:w="73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a) 应采用校验技术保证重要数据在传输过程中的完整性，包括但不限于鉴别数据、重要业务数据、重要审计数据、重要配置数据、重要视频数据和重要个人信息等;</w:t>
            </w:r>
            <w:r>
              <w:br w:type="textWrapping"/>
            </w:r>
            <w:r>
              <w:rPr>
                <w:rFonts w:ascii="宋体" w:hAnsi="宋体" w:eastAsia="宋体" w:cs="宋体"/>
                <w:sz w:val="24"/>
              </w:rPr>
              <w:t>b) 应采用校验技术或密码技术保证重要数据在存储过程中的完整性，包括但不限于鉴别数据、重要业务数据、重要审计数据、重要配置数据、重要视频数据和重要个人信息等。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数据保密性</w:t>
            </w:r>
          </w:p>
        </w:tc>
        <w:tc>
          <w:tcPr>
            <w:tcW w:w="73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a）应采用密码技术保证重要数据在传输过程中的保密性，包括但不限于鉴别数据、重要业务数据和重要个人信息等;</w:t>
            </w:r>
            <w:r>
              <w:br w:type="textWrapping"/>
            </w:r>
            <w:r>
              <w:rPr>
                <w:rFonts w:ascii="宋体" w:hAnsi="宋体" w:eastAsia="宋体" w:cs="宋体"/>
                <w:sz w:val="24"/>
              </w:rPr>
              <w:t>b）应采用密码技术保证重要数据在存储过程中的保密性，包括但不限于鉴别数据、重要业务数据和重要个人信息等。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数据备份恢复</w:t>
            </w:r>
          </w:p>
        </w:tc>
        <w:tc>
          <w:tcPr>
            <w:tcW w:w="73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a) 应提供重要数据的本地数据备份与恢复功能;</w:t>
            </w:r>
            <w:r>
              <w:br w:type="textWrapping"/>
            </w:r>
            <w:r>
              <w:rPr>
                <w:rFonts w:ascii="宋体" w:hAnsi="宋体" w:eastAsia="宋体" w:cs="宋体"/>
                <w:sz w:val="24"/>
              </w:rPr>
              <w:t>b) 应提供异地数据备份功能，利用通信网络将重要数据定时批量传送至备用场地;</w:t>
            </w:r>
            <w:r>
              <w:br w:type="textWrapping"/>
            </w:r>
            <w:r>
              <w:rPr>
                <w:rFonts w:ascii="宋体" w:hAnsi="宋体" w:eastAsia="宋体" w:cs="宋体"/>
                <w:sz w:val="24"/>
              </w:rPr>
              <w:t>c) 应提供重要数据处理系统的热冗余，保证系统的高可用性。</w:t>
            </w:r>
          </w:p>
        </w:tc>
      </w:tr>
      <w:tr>
        <w:tblPrEx>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剩余信息保护</w:t>
            </w:r>
          </w:p>
        </w:tc>
        <w:tc>
          <w:tcPr>
            <w:tcW w:w="73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a）应保证鉴别信息所在的存储空间被释放或重新分配前得到完全清除;</w:t>
            </w:r>
            <w:r>
              <w:br w:type="textWrapping"/>
            </w:r>
            <w:r>
              <w:rPr>
                <w:rFonts w:ascii="宋体" w:hAnsi="宋体" w:eastAsia="宋体" w:cs="宋体"/>
                <w:sz w:val="24"/>
              </w:rPr>
              <w:t>b）应保证存有敏感数据的存储空间被释放或重新分配前得到完全清除。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个人信息保护</w:t>
            </w:r>
          </w:p>
        </w:tc>
        <w:tc>
          <w:tcPr>
            <w:tcW w:w="73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 xml:space="preserve">a) 应仅采集和保存业务必需的用户个人信息; </w:t>
            </w:r>
            <w:r>
              <w:br w:type="textWrapping"/>
            </w:r>
            <w:r>
              <w:rPr>
                <w:rFonts w:ascii="宋体" w:hAnsi="宋体" w:eastAsia="宋体" w:cs="宋体"/>
                <w:sz w:val="24"/>
              </w:rPr>
              <w:t>b) 应禁止未授权访问和非法使用用户个人信息。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安全管理中心</w:t>
            </w: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系统管理</w:t>
            </w:r>
          </w:p>
        </w:tc>
        <w:tc>
          <w:tcPr>
            <w:tcW w:w="73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 xml:space="preserve">a) 应对系统管理员进行身份鉴别，只允许其通过特定的命令或操作界面进行系统管理操作，并对这些操作进行审计; </w:t>
            </w:r>
            <w:r>
              <w:br w:type="textWrapping"/>
            </w:r>
            <w:r>
              <w:rPr>
                <w:rFonts w:ascii="宋体" w:hAnsi="宋体" w:eastAsia="宋体" w:cs="宋体"/>
                <w:sz w:val="24"/>
              </w:rPr>
              <w:t>b) 应通过系统管理员对系统的资源和运行进行配置、控制和管理，包括用户身份、系统资源配置、系统加载和启动、系统运行的异常处理、数据和设备的备份与恢复等。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审计管理</w:t>
            </w:r>
          </w:p>
        </w:tc>
        <w:tc>
          <w:tcPr>
            <w:tcW w:w="73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a) 应对审计管理员进行身份鉴别，只允许其通过特定的命令或操作界面进行安全审计操作，并对这些操作进行审计;</w:t>
            </w:r>
            <w:r>
              <w:br w:type="textWrapping"/>
            </w:r>
            <w:r>
              <w:rPr>
                <w:rFonts w:ascii="宋体" w:hAnsi="宋体" w:eastAsia="宋体" w:cs="宋体"/>
                <w:sz w:val="24"/>
              </w:rPr>
              <w:t>b) 应通过审计管理员对审计记录进行分析，并根据分析结果进行处理，包括根据安全审计策略对审计记录进行存储、管理和查询等。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安全管理</w:t>
            </w:r>
          </w:p>
        </w:tc>
        <w:tc>
          <w:tcPr>
            <w:tcW w:w="73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a）应对安全管理员进行身份鉴别，只允许其通过特定的命令或操作界面进行安全管理操作，并对这些操作进行审计;</w:t>
            </w:r>
            <w:r>
              <w:br w:type="textWrapping"/>
            </w:r>
            <w:r>
              <w:rPr>
                <w:rFonts w:ascii="宋体" w:hAnsi="宋体" w:eastAsia="宋体" w:cs="宋体"/>
                <w:sz w:val="24"/>
              </w:rPr>
              <w:t>b) 应通过安全管理员对系统中的安全策略进行配置，包括安全参数的设置，主体、客体进行统一安全标记，对主体进行授权，配置可信验证策略等。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集中管控</w:t>
            </w:r>
          </w:p>
        </w:tc>
        <w:tc>
          <w:tcPr>
            <w:tcW w:w="73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a）应划分出特定的管理区域，对分布在网络中的安全设备或安全组件进行管控;</w:t>
            </w:r>
            <w:r>
              <w:br w:type="textWrapping"/>
            </w:r>
            <w:r>
              <w:rPr>
                <w:rFonts w:ascii="宋体" w:hAnsi="宋体" w:eastAsia="宋体" w:cs="宋体"/>
                <w:sz w:val="24"/>
              </w:rPr>
              <w:t>b) 应能够建立一条安全的信息传输路径，对网络中的安全设备或安全组件进行管理;</w:t>
            </w:r>
            <w:r>
              <w:br w:type="textWrapping"/>
            </w:r>
            <w:r>
              <w:rPr>
                <w:rFonts w:ascii="宋体" w:hAnsi="宋体" w:eastAsia="宋体" w:cs="宋体"/>
                <w:sz w:val="24"/>
              </w:rPr>
              <w:t>c）应对网络链路、安全设备、网络设备和服务器等的运行状况进行集中监测;</w:t>
            </w:r>
            <w:r>
              <w:br w:type="textWrapping"/>
            </w:r>
            <w:r>
              <w:rPr>
                <w:rFonts w:ascii="宋体" w:hAnsi="宋体" w:eastAsia="宋体" w:cs="宋体"/>
                <w:sz w:val="24"/>
              </w:rPr>
              <w:t>d）应对分散在各个设备上的审计数据进行收集汇总和集中分析，并保证审计记录的留存时间符合法律法规要求;</w:t>
            </w:r>
            <w:r>
              <w:br w:type="textWrapping"/>
            </w:r>
            <w:r>
              <w:rPr>
                <w:rFonts w:ascii="宋体" w:hAnsi="宋体" w:eastAsia="宋体" w:cs="宋体"/>
                <w:sz w:val="24"/>
              </w:rPr>
              <w:t>e）应对安全策路、恶意代码、补丁升级等安全相关事项进行集中管理;</w:t>
            </w:r>
            <w:r>
              <w:br w:type="textWrapping"/>
            </w:r>
            <w:r>
              <w:rPr>
                <w:rFonts w:ascii="宋体" w:hAnsi="宋体" w:eastAsia="宋体" w:cs="宋体"/>
                <w:sz w:val="24"/>
              </w:rPr>
              <w:t>f）应能对网络中发生的各类安全事件进行识别、报警和分析。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安全管理制度</w:t>
            </w: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安全策略</w:t>
            </w:r>
          </w:p>
        </w:tc>
        <w:tc>
          <w:tcPr>
            <w:tcW w:w="73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应制定网络安全工作的总体方针和安全策略，阐明机构安全工作的总体目标、范围、原则和安全框架等。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管理制度</w:t>
            </w:r>
          </w:p>
        </w:tc>
        <w:tc>
          <w:tcPr>
            <w:tcW w:w="73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a) 应对安全管理活动中的主要管理内容建立安全管理制度;</w:t>
            </w:r>
            <w:r>
              <w:br w:type="textWrapping"/>
            </w:r>
            <w:r>
              <w:rPr>
                <w:rFonts w:ascii="宋体" w:hAnsi="宋体" w:eastAsia="宋体" w:cs="宋体"/>
                <w:sz w:val="24"/>
              </w:rPr>
              <w:t>b) 应对管理人员或操作人员执行的日常管理操作建立操作规程;</w:t>
            </w:r>
            <w:r>
              <w:br w:type="textWrapping"/>
            </w:r>
            <w:r>
              <w:rPr>
                <w:rFonts w:ascii="宋体" w:hAnsi="宋体" w:eastAsia="宋体" w:cs="宋体"/>
                <w:sz w:val="24"/>
              </w:rPr>
              <w:t>c) 应形成由安全策略、管理制度、操作规程、记录表单等构成的全面的安全管理制度体系。</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制定和发布</w:t>
            </w:r>
          </w:p>
        </w:tc>
        <w:tc>
          <w:tcPr>
            <w:tcW w:w="73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a) 应指定或授权专门的部门或人员负责安全管理制度的制定;</w:t>
            </w:r>
            <w:r>
              <w:br w:type="textWrapping"/>
            </w:r>
            <w:r>
              <w:rPr>
                <w:rFonts w:ascii="宋体" w:hAnsi="宋体" w:eastAsia="宋体" w:cs="宋体"/>
                <w:sz w:val="24"/>
              </w:rPr>
              <w:t>b) 安全管理制度应通过正式、有效的方式发布，并进行版本控制。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评审和修订</w:t>
            </w:r>
          </w:p>
        </w:tc>
        <w:tc>
          <w:tcPr>
            <w:tcW w:w="73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应定期对安全管理制度的合理性和适用性进行论证和审定，对存在不足或需要改进的安全管理制度进行修订。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安全管理机构</w:t>
            </w: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岗位设置</w:t>
            </w:r>
          </w:p>
        </w:tc>
        <w:tc>
          <w:tcPr>
            <w:tcW w:w="73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a）应成立指导和管理网络安全工作的委员会或领导小组，其最高领导由单位主管领导担任或授权;</w:t>
            </w:r>
            <w:r>
              <w:br w:type="textWrapping"/>
            </w:r>
            <w:r>
              <w:rPr>
                <w:rFonts w:ascii="宋体" w:hAnsi="宋体" w:eastAsia="宋体" w:cs="宋体"/>
                <w:sz w:val="24"/>
              </w:rPr>
              <w:t>b）应设立网络安全管理工作的职能部门，设立安全主管、安全管理各个方面的负责人岗位，并定义各负责人的职责;</w:t>
            </w:r>
            <w:r>
              <w:br w:type="textWrapping"/>
            </w:r>
            <w:r>
              <w:rPr>
                <w:rFonts w:ascii="宋体" w:hAnsi="宋体" w:eastAsia="宋体" w:cs="宋体"/>
                <w:sz w:val="24"/>
              </w:rPr>
              <w:t>c）应设立系统管理员、审计管理员和安全管理员等岗位，并定义部门及各个工作岗位的职责。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人员配备</w:t>
            </w:r>
          </w:p>
        </w:tc>
        <w:tc>
          <w:tcPr>
            <w:tcW w:w="73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a）应配备一定数量的系统管理员、审计管理员和安全管理员等;</w:t>
            </w:r>
            <w:r>
              <w:br w:type="textWrapping"/>
            </w:r>
            <w:r>
              <w:rPr>
                <w:rFonts w:ascii="宋体" w:hAnsi="宋体" w:eastAsia="宋体" w:cs="宋体"/>
                <w:sz w:val="24"/>
              </w:rPr>
              <w:t>b) 应配备专职安全管理员，不可兼任。</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授权和审批</w:t>
            </w:r>
          </w:p>
        </w:tc>
        <w:tc>
          <w:tcPr>
            <w:tcW w:w="73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a）应根据各个部门和岗位的职责明确授权审批事项、审批部门和批准人等;</w:t>
            </w:r>
            <w:r>
              <w:br w:type="textWrapping"/>
            </w:r>
            <w:r>
              <w:rPr>
                <w:rFonts w:ascii="宋体" w:hAnsi="宋体" w:eastAsia="宋体" w:cs="宋体"/>
                <w:sz w:val="24"/>
              </w:rPr>
              <w:t>b）应针对系统变更、重要操作、物理访问和系统接入等事项建立审批程序，按照审批程序执行审批过程，对重要活动建立逐级审批制度;</w:t>
            </w:r>
            <w:r>
              <w:br w:type="textWrapping"/>
            </w:r>
            <w:r>
              <w:rPr>
                <w:rFonts w:ascii="宋体" w:hAnsi="宋体" w:eastAsia="宋体" w:cs="宋体"/>
                <w:sz w:val="24"/>
              </w:rPr>
              <w:t>c）应定期审查审批事项，及时更新需授权和审批的项目、审批部门和审批人等信息。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沟通和合作</w:t>
            </w:r>
          </w:p>
        </w:tc>
        <w:tc>
          <w:tcPr>
            <w:tcW w:w="73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a) 应加强各类管理人员、组织内部机构和网络安全管理部门之间的合作与沟通，定期召开协调会议，共同协作处理网络安全问题;</w:t>
            </w:r>
            <w:r>
              <w:br w:type="textWrapping"/>
            </w:r>
            <w:r>
              <w:rPr>
                <w:rFonts w:ascii="宋体" w:hAnsi="宋体" w:eastAsia="宋体" w:cs="宋体"/>
                <w:sz w:val="24"/>
              </w:rPr>
              <w:t>b) 应加强与网络安全职能部门、各类供应商、业界专家及安全组织的合作与沟通;</w:t>
            </w:r>
            <w:r>
              <w:br w:type="textWrapping"/>
            </w:r>
            <w:r>
              <w:rPr>
                <w:rFonts w:ascii="宋体" w:hAnsi="宋体" w:eastAsia="宋体" w:cs="宋体"/>
                <w:sz w:val="24"/>
              </w:rPr>
              <w:t>c) 应建立外联单位联系列表，包括外联单位名称、合作内容、联系人和联系方式等信息。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审核和检查</w:t>
            </w:r>
          </w:p>
        </w:tc>
        <w:tc>
          <w:tcPr>
            <w:tcW w:w="73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a) 应定期进行常规安全检查，检查内容包括系统日常运行、系统漏洞和数据备份等情况;</w:t>
            </w:r>
            <w:r>
              <w:br w:type="textWrapping"/>
            </w:r>
            <w:r>
              <w:rPr>
                <w:rFonts w:ascii="宋体" w:hAnsi="宋体" w:eastAsia="宋体" w:cs="宋体"/>
                <w:sz w:val="24"/>
              </w:rPr>
              <w:t>b) 应定期进行全面安全检查，检查内容包括现有安全技术措施的有效性、安全配置与安全策略的一致性、安全管理制度的执行情况等;</w:t>
            </w:r>
            <w:r>
              <w:br w:type="textWrapping"/>
            </w:r>
            <w:r>
              <w:rPr>
                <w:rFonts w:ascii="宋体" w:hAnsi="宋体" w:eastAsia="宋体" w:cs="宋体"/>
                <w:sz w:val="24"/>
              </w:rPr>
              <w:t>c) 应制定安全检查表格实施安全检查，汇总安全检查数据，形成安全检查报告，并对安全检查结果进行通报。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安全管理人员</w:t>
            </w: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人员录用</w:t>
            </w:r>
          </w:p>
        </w:tc>
        <w:tc>
          <w:tcPr>
            <w:tcW w:w="73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a) 应指定或授权专门的部门或人员负责人员录用;</w:t>
            </w:r>
            <w:r>
              <w:br w:type="textWrapping"/>
            </w:r>
            <w:r>
              <w:rPr>
                <w:rFonts w:ascii="宋体" w:hAnsi="宋体" w:eastAsia="宋体" w:cs="宋体"/>
                <w:sz w:val="24"/>
              </w:rPr>
              <w:t>b）应对被录用人员的身份、安全背景、专业资格或资质等进行审查，对其所具有的技术技能进行考核;</w:t>
            </w:r>
            <w:r>
              <w:br w:type="textWrapping"/>
            </w:r>
            <w:r>
              <w:rPr>
                <w:rFonts w:ascii="宋体" w:hAnsi="宋体" w:eastAsia="宋体" w:cs="宋体"/>
                <w:sz w:val="24"/>
              </w:rPr>
              <w:t>c）应与被录用人员签署保密协议，与关键岗位人员签署岗位责任协议。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人员离岗</w:t>
            </w:r>
          </w:p>
        </w:tc>
        <w:tc>
          <w:tcPr>
            <w:tcW w:w="73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a）应及时终止离岗人员的所有访问权限，取回各种身份证件、钥匙、徽章等以及机构提供的软硬件设备;</w:t>
            </w:r>
            <w:r>
              <w:br w:type="textWrapping"/>
            </w:r>
            <w:r>
              <w:rPr>
                <w:rFonts w:ascii="宋体" w:hAnsi="宋体" w:eastAsia="宋体" w:cs="宋体"/>
                <w:sz w:val="24"/>
              </w:rPr>
              <w:t>b) 应办理严格的调离手续，并承诺调离后的保密义务后方可离开。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安全意识教育和培训</w:t>
            </w:r>
          </w:p>
        </w:tc>
        <w:tc>
          <w:tcPr>
            <w:tcW w:w="73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a）应对各类人员进行安全意识教育和岗位技能培训，并告知相关的安全责任和惩戒措施;</w:t>
            </w:r>
            <w:r>
              <w:br w:type="textWrapping"/>
            </w:r>
            <w:r>
              <w:rPr>
                <w:rFonts w:ascii="宋体" w:hAnsi="宋体" w:eastAsia="宋体" w:cs="宋体"/>
                <w:sz w:val="24"/>
              </w:rPr>
              <w:t>b）应针对不同岗位制定不同的培训计划，对安全基础知识、岗位操作规程等进行培训;</w:t>
            </w:r>
            <w:r>
              <w:br w:type="textWrapping"/>
            </w:r>
            <w:r>
              <w:rPr>
                <w:rFonts w:ascii="宋体" w:hAnsi="宋体" w:eastAsia="宋体" w:cs="宋体"/>
                <w:sz w:val="24"/>
              </w:rPr>
              <w:t>c）应定期对不同岗位的人员进行技能考核。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外部人员访问管理</w:t>
            </w:r>
          </w:p>
        </w:tc>
        <w:tc>
          <w:tcPr>
            <w:tcW w:w="73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 xml:space="preserve">a) 应在外部人员物理访问受控区域前先提出书面申请，批准后由专人全程陪同，并登记备案; </w:t>
            </w:r>
            <w:r>
              <w:br w:type="textWrapping"/>
            </w:r>
            <w:r>
              <w:rPr>
                <w:rFonts w:ascii="宋体" w:hAnsi="宋体" w:eastAsia="宋体" w:cs="宋体"/>
                <w:sz w:val="24"/>
              </w:rPr>
              <w:t>b) 应在外部人员接入受控网络访问系统前先提出书面申请，批准后由专人开设账户、分配权限，并登记备案;</w:t>
            </w:r>
            <w:r>
              <w:br w:type="textWrapping"/>
            </w:r>
            <w:r>
              <w:rPr>
                <w:rFonts w:ascii="宋体" w:hAnsi="宋体" w:eastAsia="宋体" w:cs="宋体"/>
                <w:sz w:val="24"/>
              </w:rPr>
              <w:t>c) 外部人员离场后应及时清除其所有的访问权限;</w:t>
            </w:r>
            <w:r>
              <w:br w:type="textWrapping"/>
            </w:r>
            <w:r>
              <w:rPr>
                <w:rFonts w:ascii="宋体" w:hAnsi="宋体" w:eastAsia="宋体" w:cs="宋体"/>
                <w:sz w:val="24"/>
              </w:rPr>
              <w:t>d）获得系统访问授权的外部人员应签署保密协议，不得进行非授权操作，不得复制和泄露任何敏感信息。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安全建设管理</w:t>
            </w: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定级和备案</w:t>
            </w:r>
          </w:p>
        </w:tc>
        <w:tc>
          <w:tcPr>
            <w:tcW w:w="73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a) 应以书面的形式说明保护对象的安全保护等级及确定等级的方法和理由;</w:t>
            </w:r>
            <w:r>
              <w:br w:type="textWrapping"/>
            </w:r>
            <w:r>
              <w:rPr>
                <w:rFonts w:ascii="宋体" w:hAnsi="宋体" w:eastAsia="宋体" w:cs="宋体"/>
                <w:sz w:val="24"/>
              </w:rPr>
              <w:t xml:space="preserve">b) 应组织相关部门和有关安全技术专家对定级结果的合理性和正确性进行论证和审定; </w:t>
            </w:r>
            <w:r>
              <w:br w:type="textWrapping"/>
            </w:r>
            <w:r>
              <w:rPr>
                <w:rFonts w:ascii="宋体" w:hAnsi="宋体" w:eastAsia="宋体" w:cs="宋体"/>
                <w:sz w:val="24"/>
              </w:rPr>
              <w:t>c) 应保证定级结果经过相关部门的批准;</w:t>
            </w:r>
            <w:r>
              <w:br w:type="textWrapping"/>
            </w:r>
            <w:r>
              <w:rPr>
                <w:rFonts w:ascii="宋体" w:hAnsi="宋体" w:eastAsia="宋体" w:cs="宋体"/>
                <w:sz w:val="24"/>
              </w:rPr>
              <w:t>d) 应将备案材料报主管部门和相应公安机关备案。</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安全方案设计</w:t>
            </w:r>
          </w:p>
        </w:tc>
        <w:tc>
          <w:tcPr>
            <w:tcW w:w="73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a）应根据安全保护等级选择基本安全措施，依据风险分析的结果补充和调整安全措施;</w:t>
            </w:r>
            <w:r>
              <w:br w:type="textWrapping"/>
            </w:r>
            <w:r>
              <w:rPr>
                <w:rFonts w:ascii="宋体" w:hAnsi="宋体" w:eastAsia="宋体" w:cs="宋体"/>
                <w:sz w:val="24"/>
              </w:rPr>
              <w:t>b）应根据保护对象的安全保护等级及与其他级别保护对象的关系进行安全整体规划和安全方案设计，设计内容应包含密码技术相关内容，并形成配套文件;</w:t>
            </w:r>
            <w:r>
              <w:br w:type="textWrapping"/>
            </w:r>
            <w:r>
              <w:rPr>
                <w:rFonts w:ascii="宋体" w:hAnsi="宋体" w:eastAsia="宋体" w:cs="宋体"/>
                <w:sz w:val="24"/>
              </w:rPr>
              <w:t>c）应组织相关部门和有关安全专家对安全整体规划及其配套文件的合理性和正确性进行论证和审定，经过批准后才能正式实施。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产品采购和使用</w:t>
            </w:r>
          </w:p>
        </w:tc>
        <w:tc>
          <w:tcPr>
            <w:tcW w:w="73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a) 应确保网络安全产品采购和使用符合国家的有关规定;</w:t>
            </w:r>
            <w:r>
              <w:br w:type="textWrapping"/>
            </w:r>
            <w:r>
              <w:rPr>
                <w:rFonts w:ascii="宋体" w:hAnsi="宋体" w:eastAsia="宋体" w:cs="宋体"/>
                <w:sz w:val="24"/>
              </w:rPr>
              <w:t>b) 应确保密码产品与服务的采购和使用符合国家密码管理主管部门的要求;</w:t>
            </w:r>
            <w:r>
              <w:br w:type="textWrapping"/>
            </w:r>
            <w:r>
              <w:rPr>
                <w:rFonts w:ascii="宋体" w:hAnsi="宋体" w:eastAsia="宋体" w:cs="宋体"/>
                <w:sz w:val="24"/>
              </w:rPr>
              <w:t>c）应预先对产品进行选型测试，确定产品的候选范围，并定期审定和更新候选产品名单。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自行软件开发</w:t>
            </w:r>
          </w:p>
        </w:tc>
        <w:tc>
          <w:tcPr>
            <w:tcW w:w="73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a）应将开发环境与实际运行环境物理分开，测试数据和测试结果受到控制;</w:t>
            </w:r>
            <w:r>
              <w:br w:type="textWrapping"/>
            </w:r>
            <w:r>
              <w:rPr>
                <w:rFonts w:ascii="宋体" w:hAnsi="宋体" w:eastAsia="宋体" w:cs="宋体"/>
                <w:sz w:val="24"/>
              </w:rPr>
              <w:t>b) 应制定软件开发管理制度，明确说明开发过程的控制方法和人员行为准则;</w:t>
            </w:r>
            <w:r>
              <w:br w:type="textWrapping"/>
            </w:r>
            <w:r>
              <w:rPr>
                <w:rFonts w:ascii="宋体" w:hAnsi="宋体" w:eastAsia="宋体" w:cs="宋体"/>
                <w:sz w:val="24"/>
              </w:rPr>
              <w:t>c）应制定代码编写安全规范，要求开发人员参照规范编写代码;</w:t>
            </w:r>
            <w:r>
              <w:br w:type="textWrapping"/>
            </w:r>
            <w:r>
              <w:rPr>
                <w:rFonts w:ascii="宋体" w:hAnsi="宋体" w:eastAsia="宋体" w:cs="宋体"/>
                <w:sz w:val="24"/>
              </w:rPr>
              <w:t>d) 应具备软件设计的相关文档和使用指南，并对文档使用进行控制;</w:t>
            </w:r>
            <w:r>
              <w:br w:type="textWrapping"/>
            </w:r>
            <w:r>
              <w:rPr>
                <w:rFonts w:ascii="宋体" w:hAnsi="宋体" w:eastAsia="宋体" w:cs="宋体"/>
                <w:sz w:val="24"/>
              </w:rPr>
              <w:t>e）应保证在软件开发过程中对安全性进行测试，在软件安装前对可能存在的恶意代码进行检测;</w:t>
            </w:r>
            <w:r>
              <w:br w:type="textWrapping"/>
            </w:r>
            <w:r>
              <w:rPr>
                <w:rFonts w:ascii="宋体" w:hAnsi="宋体" w:eastAsia="宋体" w:cs="宋体"/>
                <w:sz w:val="24"/>
              </w:rPr>
              <w:t>f) 应对程序资源库的修改、更新、发布进行授权和批准，并严格进行版本控制;</w:t>
            </w:r>
            <w:r>
              <w:br w:type="textWrapping"/>
            </w:r>
            <w:r>
              <w:rPr>
                <w:rFonts w:ascii="宋体" w:hAnsi="宋体" w:eastAsia="宋体" w:cs="宋体"/>
                <w:sz w:val="24"/>
              </w:rPr>
              <w:t>g）应保证开发人员为专职人员、开发人员的开发活动受到控制、监视和审查。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外包软件开发</w:t>
            </w:r>
          </w:p>
        </w:tc>
        <w:tc>
          <w:tcPr>
            <w:tcW w:w="73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 xml:space="preserve">a) 应在软件交付前检测其中可能存在的恶意代码; </w:t>
            </w:r>
            <w:r>
              <w:br w:type="textWrapping"/>
            </w:r>
            <w:r>
              <w:rPr>
                <w:rFonts w:ascii="宋体" w:hAnsi="宋体" w:eastAsia="宋体" w:cs="宋体"/>
                <w:sz w:val="24"/>
              </w:rPr>
              <w:t>b) 应保证开发单位提供软件设计文档和使用指南;</w:t>
            </w:r>
            <w:r>
              <w:br w:type="textWrapping"/>
            </w:r>
            <w:r>
              <w:rPr>
                <w:rFonts w:ascii="宋体" w:hAnsi="宋体" w:eastAsia="宋体" w:cs="宋体"/>
                <w:sz w:val="24"/>
              </w:rPr>
              <w:t>c）应保证开发单位提供软件源代码，并审查软件中可能存在的后门和隐蔽信道。</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工程实施</w:t>
            </w:r>
          </w:p>
        </w:tc>
        <w:tc>
          <w:tcPr>
            <w:tcW w:w="73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a) 应指定或授权专门的部门或人员负责工程实施过程的管理;</w:t>
            </w:r>
            <w:r>
              <w:br w:type="textWrapping"/>
            </w:r>
            <w:r>
              <w:rPr>
                <w:rFonts w:ascii="宋体" w:hAnsi="宋体" w:eastAsia="宋体" w:cs="宋体"/>
                <w:sz w:val="24"/>
              </w:rPr>
              <w:t>b) 应制定安全工程实施方案控制工程实施过程;</w:t>
            </w:r>
            <w:r>
              <w:br w:type="textWrapping"/>
            </w:r>
            <w:r>
              <w:rPr>
                <w:rFonts w:ascii="宋体" w:hAnsi="宋体" w:eastAsia="宋体" w:cs="宋体"/>
                <w:sz w:val="24"/>
              </w:rPr>
              <w:t>c）应通过第三方工程监理控制项目的实施过程。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测试验收</w:t>
            </w:r>
          </w:p>
        </w:tc>
        <w:tc>
          <w:tcPr>
            <w:tcW w:w="73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 xml:space="preserve">a) 应制订测试验收方案，并依据测试验收方案实施测试验收，形成测试验收报告; </w:t>
            </w:r>
            <w:r>
              <w:br w:type="textWrapping"/>
            </w:r>
            <w:r>
              <w:rPr>
                <w:rFonts w:ascii="宋体" w:hAnsi="宋体" w:eastAsia="宋体" w:cs="宋体"/>
                <w:sz w:val="24"/>
              </w:rPr>
              <w:t>b）应进行上线前的安全性测试，并出具安全测试报告，安全测试报告应包含密码应用安全性测试相关内容。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系统交付</w:t>
            </w:r>
          </w:p>
        </w:tc>
        <w:tc>
          <w:tcPr>
            <w:tcW w:w="73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 xml:space="preserve">a) 应制定交付清单，并根据交付清单对所交接的设备、软件和文档等进行清点; </w:t>
            </w:r>
            <w:r>
              <w:br w:type="textWrapping"/>
            </w:r>
            <w:r>
              <w:rPr>
                <w:rFonts w:ascii="宋体" w:hAnsi="宋体" w:eastAsia="宋体" w:cs="宋体"/>
                <w:sz w:val="24"/>
              </w:rPr>
              <w:t>b) 应对负责运行维护的技术人员进行相应的技能培训;</w:t>
            </w:r>
            <w:r>
              <w:br w:type="textWrapping"/>
            </w:r>
            <w:r>
              <w:rPr>
                <w:rFonts w:ascii="宋体" w:hAnsi="宋体" w:eastAsia="宋体" w:cs="宋体"/>
                <w:sz w:val="24"/>
              </w:rPr>
              <w:t>c) 应提供建设过程文档和运行维护文档。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等级测评</w:t>
            </w:r>
          </w:p>
        </w:tc>
        <w:tc>
          <w:tcPr>
            <w:tcW w:w="73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a) 应定期进行等级测评，发现不符合相应等级保护标准要求的及时整改;</w:t>
            </w:r>
            <w:r>
              <w:br w:type="textWrapping"/>
            </w:r>
            <w:r>
              <w:rPr>
                <w:rFonts w:ascii="宋体" w:hAnsi="宋体" w:eastAsia="宋体" w:cs="宋体"/>
                <w:sz w:val="24"/>
              </w:rPr>
              <w:t>b) 应在发生重大变更或级别发生变化时进行等级测评;</w:t>
            </w:r>
            <w:r>
              <w:br w:type="textWrapping"/>
            </w:r>
            <w:r>
              <w:rPr>
                <w:rFonts w:ascii="宋体" w:hAnsi="宋体" w:eastAsia="宋体" w:cs="宋体"/>
                <w:sz w:val="24"/>
              </w:rPr>
              <w:t>c) 应确保测评机构的选择符合国家有关规定。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服务供应商选择</w:t>
            </w:r>
          </w:p>
        </w:tc>
        <w:tc>
          <w:tcPr>
            <w:tcW w:w="73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a) 应确保服务供应商的选择符合国家的有关规定;</w:t>
            </w:r>
            <w:r>
              <w:br w:type="textWrapping"/>
            </w:r>
            <w:r>
              <w:rPr>
                <w:rFonts w:ascii="宋体" w:hAnsi="宋体" w:eastAsia="宋体" w:cs="宋体"/>
                <w:sz w:val="24"/>
              </w:rPr>
              <w:t>b) 应与选定的服务供应商签订相关协议，明确整个服务供应链各方需履行的网络安全相关义务;</w:t>
            </w:r>
            <w:r>
              <w:br w:type="textWrapping"/>
            </w:r>
            <w:r>
              <w:rPr>
                <w:rFonts w:ascii="宋体" w:hAnsi="宋体" w:eastAsia="宋体" w:cs="宋体"/>
                <w:sz w:val="24"/>
              </w:rPr>
              <w:t>c）应定期监督、评审和审核服务供应商提供的服务，并对其变更服务内容加以控制。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安全运维管理</w:t>
            </w: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环境管理</w:t>
            </w:r>
          </w:p>
        </w:tc>
        <w:tc>
          <w:tcPr>
            <w:tcW w:w="73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a) 应指定专门的部门或人员负责机房安全，对机房出入进行管理，定期对机房供配电、空调、温湿度控制、消防等设施进行维护管理;</w:t>
            </w:r>
            <w:r>
              <w:br w:type="textWrapping"/>
            </w:r>
            <w:r>
              <w:rPr>
                <w:rFonts w:ascii="宋体" w:hAnsi="宋体" w:eastAsia="宋体" w:cs="宋体"/>
                <w:sz w:val="24"/>
              </w:rPr>
              <w:t>b）应建立机房安全管理制度，对有关物理访问、物品带进出和环境安全等方面的管理作出规定;</w:t>
            </w:r>
            <w:r>
              <w:br w:type="textWrapping"/>
            </w:r>
            <w:r>
              <w:rPr>
                <w:rFonts w:ascii="宋体" w:hAnsi="宋体" w:eastAsia="宋体" w:cs="宋体"/>
                <w:sz w:val="24"/>
              </w:rPr>
              <w:t>c) 应不在重要区域接待来访人员，不随意放置含有敏感信息的纸档文件和移动介质等。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资产管理</w:t>
            </w:r>
          </w:p>
        </w:tc>
        <w:tc>
          <w:tcPr>
            <w:tcW w:w="73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a) 应编制并保存与保护对象相关的资产清单，包括资产责任部门、重要程度和所处位置等内容;</w:t>
            </w:r>
            <w:r>
              <w:br w:type="textWrapping"/>
            </w:r>
            <w:r>
              <w:rPr>
                <w:rFonts w:ascii="宋体" w:hAnsi="宋体" w:eastAsia="宋体" w:cs="宋体"/>
                <w:sz w:val="24"/>
              </w:rPr>
              <w:t>b）应根据资产的重要程度对资产进行标识管理，根据资产的价值选择相应的管理措施;</w:t>
            </w:r>
            <w:r>
              <w:br w:type="textWrapping"/>
            </w:r>
            <w:r>
              <w:rPr>
                <w:rFonts w:ascii="宋体" w:hAnsi="宋体" w:eastAsia="宋体" w:cs="宋体"/>
                <w:sz w:val="24"/>
              </w:rPr>
              <w:t>c）应对信息分类与标识方法作出规定，并对信息的使用、传输和存储等进行规范化管理。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介质管理</w:t>
            </w:r>
          </w:p>
        </w:tc>
        <w:tc>
          <w:tcPr>
            <w:tcW w:w="73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a) 应将介质存放在安全的环境中，对各类介质进行控制和保护，实行存储环境专人管理，并根据存档介质的目录清单定期盘点;</w:t>
            </w:r>
            <w:r>
              <w:br w:type="textWrapping"/>
            </w:r>
            <w:r>
              <w:rPr>
                <w:rFonts w:ascii="宋体" w:hAnsi="宋体" w:eastAsia="宋体" w:cs="宋体"/>
                <w:sz w:val="24"/>
              </w:rPr>
              <w:t>b) 应对介质在物理传输过程中的人员选择、打包、交付等情况进行控制，并对介质的归档和查询等进行登记记录。</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设备维护管理</w:t>
            </w:r>
          </w:p>
        </w:tc>
        <w:tc>
          <w:tcPr>
            <w:tcW w:w="73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a) 应对各种设备(包括备份和冗余设备)、线路等指定专门的部门或人员定期进行维护管理;</w:t>
            </w:r>
            <w:r>
              <w:br w:type="textWrapping"/>
            </w:r>
            <w:r>
              <w:rPr>
                <w:rFonts w:ascii="宋体" w:hAnsi="宋体" w:eastAsia="宋体" w:cs="宋体"/>
                <w:sz w:val="24"/>
              </w:rPr>
              <w:t>b) 应对配套设施、软硬件维护管理做出规定，包括明确维护人员的责任、维修和服务的审批、维修过程的监督控制等;</w:t>
            </w:r>
            <w:r>
              <w:br w:type="textWrapping"/>
            </w:r>
            <w:r>
              <w:rPr>
                <w:rFonts w:ascii="宋体" w:hAnsi="宋体" w:eastAsia="宋体" w:cs="宋体"/>
                <w:sz w:val="24"/>
              </w:rPr>
              <w:t>c）信息处理设备应经过审批才能带离机房或办公地点，含有存储介质的设备带出工作环境时其中重要数据应加密;</w:t>
            </w:r>
            <w:r>
              <w:br w:type="textWrapping"/>
            </w:r>
            <w:r>
              <w:rPr>
                <w:rFonts w:ascii="宋体" w:hAnsi="宋体" w:eastAsia="宋体" w:cs="宋体"/>
                <w:sz w:val="24"/>
              </w:rPr>
              <w:t>d）含有存储介质的设备在报废或重用前，应进行完全清除或被安全覆盖，保证该设备上的敏感数据和授权软件无法被恢复重用。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漏洞和风险管理</w:t>
            </w:r>
          </w:p>
        </w:tc>
        <w:tc>
          <w:tcPr>
            <w:tcW w:w="73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a) 应采取必要的措施识别安全漏洞和隐患，对发现的安全漏洞和隐患及时进行修补或评估可能的影响后进行修补;</w:t>
            </w:r>
            <w:r>
              <w:br w:type="textWrapping"/>
            </w:r>
            <w:r>
              <w:rPr>
                <w:rFonts w:ascii="宋体" w:hAnsi="宋体" w:eastAsia="宋体" w:cs="宋体"/>
                <w:sz w:val="24"/>
              </w:rPr>
              <w:t>b）应定期开展安全测评，形成安全测评报告，采取措施应对发现的安全问题。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网络和系统安全管理</w:t>
            </w:r>
          </w:p>
        </w:tc>
        <w:tc>
          <w:tcPr>
            <w:tcW w:w="73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a) 应划分不同的管理员角色进行网络和系统的运维管理，明确各个角色的责任和权限;</w:t>
            </w:r>
            <w:r>
              <w:br w:type="textWrapping"/>
            </w:r>
            <w:r>
              <w:rPr>
                <w:rFonts w:ascii="宋体" w:hAnsi="宋体" w:eastAsia="宋体" w:cs="宋体"/>
                <w:sz w:val="24"/>
              </w:rPr>
              <w:t>b) 应指定专门的部门或人员进行账户管理，对申请账户、建立账户、删除账户等进行控制;</w:t>
            </w:r>
            <w:r>
              <w:br w:type="textWrapping"/>
            </w:r>
            <w:r>
              <w:rPr>
                <w:rFonts w:ascii="宋体" w:hAnsi="宋体" w:eastAsia="宋体" w:cs="宋体"/>
                <w:sz w:val="24"/>
              </w:rPr>
              <w:t>c) 应建立网络和系统安全管理制度，对安全策略、账户管理、配置管理、日志管理、日常操作、升级与打补丁、口令更新周期等方面作出规定;</w:t>
            </w:r>
            <w:r>
              <w:br w:type="textWrapping"/>
            </w:r>
            <w:r>
              <w:rPr>
                <w:rFonts w:ascii="宋体" w:hAnsi="宋体" w:eastAsia="宋体" w:cs="宋体"/>
                <w:sz w:val="24"/>
              </w:rPr>
              <w:t>d) 应制定重要设备的配置和操作手册，依据手册对设备进行安全配置和优化配置等;</w:t>
            </w:r>
            <w:r>
              <w:br w:type="textWrapping"/>
            </w:r>
            <w:r>
              <w:rPr>
                <w:rFonts w:ascii="宋体" w:hAnsi="宋体" w:eastAsia="宋体" w:cs="宋体"/>
                <w:sz w:val="24"/>
              </w:rPr>
              <w:t>e) 应详细记录运维操作日志，包括日常巡检工作、运行维护记录、参数的设置和修改等内容;</w:t>
            </w:r>
            <w:r>
              <w:br w:type="textWrapping"/>
            </w:r>
            <w:r>
              <w:rPr>
                <w:rFonts w:ascii="宋体" w:hAnsi="宋体" w:eastAsia="宋体" w:cs="宋体"/>
                <w:sz w:val="24"/>
              </w:rPr>
              <w:t>f）应指定专门的部门或人员对日志、监测和报警数据等进行分析、统计，及时发现可疑行为;</w:t>
            </w:r>
            <w:r>
              <w:br w:type="textWrapping"/>
            </w:r>
            <w:r>
              <w:rPr>
                <w:rFonts w:ascii="宋体" w:hAnsi="宋体" w:eastAsia="宋体" w:cs="宋体"/>
                <w:sz w:val="24"/>
              </w:rPr>
              <w:t>g）应严格控制变更性运维，经过审批后才可改变连接、安装系统组件或调整配置参数，操作过程中应保留不可更改的审计日志，操作结束后应同步更新配置信息库;</w:t>
            </w:r>
            <w:r>
              <w:br w:type="textWrapping"/>
            </w:r>
            <w:r>
              <w:rPr>
                <w:rFonts w:ascii="宋体" w:hAnsi="宋体" w:eastAsia="宋体" w:cs="宋体"/>
                <w:sz w:val="24"/>
              </w:rPr>
              <w:t>h）应严格控制运维工具的使用，经过审批后才可接入进行操作，操作过程中应保留不可更改的审计日志，操作结束后应删除工具中的敏感数据;</w:t>
            </w:r>
            <w:r>
              <w:br w:type="textWrapping"/>
            </w:r>
            <w:r>
              <w:rPr>
                <w:rFonts w:ascii="宋体" w:hAnsi="宋体" w:eastAsia="宋体" w:cs="宋体"/>
                <w:sz w:val="24"/>
              </w:rPr>
              <w:t>i）应严格控制远程运维的开通，经过审批后才可开通远程运维接口或通道，操作过程中应保留不可更改的审计日志，操作结束后立即关闭接口或通道;</w:t>
            </w:r>
            <w:r>
              <w:br w:type="textWrapping"/>
            </w:r>
            <w:r>
              <w:rPr>
                <w:rFonts w:ascii="宋体" w:hAnsi="宋体" w:eastAsia="宋体" w:cs="宋体"/>
                <w:sz w:val="24"/>
              </w:rPr>
              <w:t>j）应保证所有与外部的连接均得到授权和批准，应定期检查违反规定无线上网及其他违反网络安全策略的行为。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恶意代码防范管理</w:t>
            </w:r>
          </w:p>
        </w:tc>
        <w:tc>
          <w:tcPr>
            <w:tcW w:w="73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a) 应提高所有用户的防恶意代码意识，对外来计算机或存储设备接入系统前进行恶意代码检查等;</w:t>
            </w:r>
            <w:r>
              <w:br w:type="textWrapping"/>
            </w:r>
            <w:r>
              <w:rPr>
                <w:rFonts w:ascii="宋体" w:hAnsi="宋体" w:eastAsia="宋体" w:cs="宋体"/>
                <w:sz w:val="24"/>
              </w:rPr>
              <w:t>b）应定期验证防范恶意代码攻击的技术措施的有效性。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配置管理</w:t>
            </w:r>
          </w:p>
        </w:tc>
        <w:tc>
          <w:tcPr>
            <w:tcW w:w="73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a) 应记录和保存基本配置信息，包括网络拓扑结构、各个设备安装的软件组件、软件组件的版本和 补丁信息、各个设备或软件组件的配置参数等;</w:t>
            </w:r>
            <w:r>
              <w:br w:type="textWrapping"/>
            </w:r>
            <w:r>
              <w:rPr>
                <w:rFonts w:ascii="宋体" w:hAnsi="宋体" w:eastAsia="宋体" w:cs="宋体"/>
                <w:sz w:val="24"/>
              </w:rPr>
              <w:t>b) 应将基本配置信息改变纳入变更范畴，实施对配置信息改变的控制，并及时更新基本配置信息库。</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密码管理</w:t>
            </w:r>
          </w:p>
        </w:tc>
        <w:tc>
          <w:tcPr>
            <w:tcW w:w="73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a) 应遵循密码相关国家标准和行业标准;</w:t>
            </w:r>
            <w:r>
              <w:br w:type="textWrapping"/>
            </w:r>
            <w:r>
              <w:rPr>
                <w:rFonts w:ascii="宋体" w:hAnsi="宋体" w:eastAsia="宋体" w:cs="宋体"/>
                <w:sz w:val="24"/>
              </w:rPr>
              <w:t>b) 应使用国家密码管理主管部门认证核准的密码技术和产品。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变更管理</w:t>
            </w:r>
          </w:p>
        </w:tc>
        <w:tc>
          <w:tcPr>
            <w:tcW w:w="73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a）应明确变更需求，变更前根据变更需求制定变更方案，变更方案经过评审、审批后方可实施;</w:t>
            </w:r>
            <w:r>
              <w:br w:type="textWrapping"/>
            </w:r>
            <w:r>
              <w:rPr>
                <w:rFonts w:ascii="宋体" w:hAnsi="宋体" w:eastAsia="宋体" w:cs="宋体"/>
                <w:sz w:val="24"/>
              </w:rPr>
              <w:t>b) 应建立变更的申报和审批控制程序，依据程序控制所有的变更，记录变更实施过程;</w:t>
            </w:r>
            <w:r>
              <w:br w:type="textWrapping"/>
            </w:r>
            <w:r>
              <w:rPr>
                <w:rFonts w:ascii="宋体" w:hAnsi="宋体" w:eastAsia="宋体" w:cs="宋体"/>
                <w:sz w:val="24"/>
              </w:rPr>
              <w:t>c）应建立中止变更并从失败变更中恢复的程序，明确过程控制方法和人员职责，必要时对恢复过程进行演练。</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备份与恢复管理</w:t>
            </w:r>
          </w:p>
        </w:tc>
        <w:tc>
          <w:tcPr>
            <w:tcW w:w="73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a) 应识别需要定期备份的重要业务信息、系统数据及软件系统等;</w:t>
            </w:r>
            <w:r>
              <w:br w:type="textWrapping"/>
            </w:r>
            <w:r>
              <w:rPr>
                <w:rFonts w:ascii="宋体" w:hAnsi="宋体" w:eastAsia="宋体" w:cs="宋体"/>
                <w:sz w:val="24"/>
              </w:rPr>
              <w:t>b) 应规定备份信息的备份方式、备份频度、存储介质、保存期等;</w:t>
            </w:r>
            <w:r>
              <w:br w:type="textWrapping"/>
            </w:r>
            <w:r>
              <w:rPr>
                <w:rFonts w:ascii="宋体" w:hAnsi="宋体" w:eastAsia="宋体" w:cs="宋体"/>
                <w:sz w:val="24"/>
              </w:rPr>
              <w:t>c) 应根据数据的重要性和数据对系统运行的影响，制定数据的备份策略和恢复策略、备份程序和恢复程序等。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安全事件处置</w:t>
            </w:r>
          </w:p>
        </w:tc>
        <w:tc>
          <w:tcPr>
            <w:tcW w:w="73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a) 应及时向安全管理部门报告所发现的安全弱点和可疑事件;</w:t>
            </w:r>
            <w:r>
              <w:br w:type="textWrapping"/>
            </w:r>
            <w:r>
              <w:rPr>
                <w:rFonts w:ascii="宋体" w:hAnsi="宋体" w:eastAsia="宋体" w:cs="宋体"/>
                <w:sz w:val="24"/>
              </w:rPr>
              <w:t>b) 应制定安全事件报告和处置管理制度，明确不同安全事件的报告、处置和响应流程，规定安全事件的现场处理、事件报告和后期恢复的管理职责等;</w:t>
            </w:r>
            <w:r>
              <w:br w:type="textWrapping"/>
            </w:r>
            <w:r>
              <w:rPr>
                <w:rFonts w:ascii="宋体" w:hAnsi="宋体" w:eastAsia="宋体" w:cs="宋体"/>
                <w:sz w:val="24"/>
              </w:rPr>
              <w:t>c) 应在安全事件报告和响应处理过程中，分析和鉴定事件产生的原因，收集证据，记录处理过程，总结经验教训;</w:t>
            </w:r>
            <w:r>
              <w:br w:type="textWrapping"/>
            </w:r>
            <w:r>
              <w:rPr>
                <w:rFonts w:ascii="宋体" w:hAnsi="宋体" w:eastAsia="宋体" w:cs="宋体"/>
                <w:sz w:val="24"/>
              </w:rPr>
              <w:t>d）对造成系统中断和造成信息泄漏的重大安全事件应采用不同的处理程序和报告程序。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应急预案管理</w:t>
            </w:r>
          </w:p>
        </w:tc>
        <w:tc>
          <w:tcPr>
            <w:tcW w:w="73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a）应规定统一的应急预案框架，包括启动预案的条件、应急组织构成、应急资源保障、事后教育和培训等内容;</w:t>
            </w:r>
            <w:r>
              <w:br w:type="textWrapping"/>
            </w:r>
            <w:r>
              <w:rPr>
                <w:rFonts w:ascii="宋体" w:hAnsi="宋体" w:eastAsia="宋体" w:cs="宋体"/>
                <w:sz w:val="24"/>
              </w:rPr>
              <w:t>b) 应制定重要事件的应急预案，包括应急处理流程、系统恢复流程等内容;</w:t>
            </w:r>
            <w:r>
              <w:br w:type="textWrapping"/>
            </w:r>
            <w:r>
              <w:rPr>
                <w:rFonts w:ascii="宋体" w:hAnsi="宋体" w:eastAsia="宋体" w:cs="宋体"/>
                <w:sz w:val="24"/>
              </w:rPr>
              <w:t>c）应定期对系统相关的人员进行应急预案培训，并进行应急预案的演练;</w:t>
            </w:r>
            <w:r>
              <w:br w:type="textWrapping"/>
            </w:r>
            <w:r>
              <w:rPr>
                <w:rFonts w:ascii="宋体" w:hAnsi="宋体" w:eastAsia="宋体" w:cs="宋体"/>
                <w:sz w:val="24"/>
              </w:rPr>
              <w:t>d）应定期对原有的应急预案重新评估，修订完善。</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外包运维管理</w:t>
            </w:r>
          </w:p>
        </w:tc>
        <w:tc>
          <w:tcPr>
            <w:tcW w:w="73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a) 应确保外包运维服务商的选择符合国家的有关规定;</w:t>
            </w:r>
            <w:r>
              <w:br w:type="textWrapping"/>
            </w:r>
            <w:r>
              <w:rPr>
                <w:rFonts w:ascii="宋体" w:hAnsi="宋体" w:eastAsia="宋体" w:cs="宋体"/>
                <w:sz w:val="24"/>
              </w:rPr>
              <w:t>b) 应与选定的外包运维服务商签订相关的协议，明确约定外包运维的范围、工作内容;</w:t>
            </w:r>
            <w:r>
              <w:br w:type="textWrapping"/>
            </w:r>
            <w:r>
              <w:rPr>
                <w:rFonts w:ascii="宋体" w:hAnsi="宋体" w:eastAsia="宋体" w:cs="宋体"/>
                <w:sz w:val="24"/>
              </w:rPr>
              <w:t>c）应保证选择的外包运维服务商在技术和管理方面均应具有按照等级保护要求开展安全运维工作的能力，并将能力要求在签订的协议中明确;</w:t>
            </w:r>
            <w:r>
              <w:br w:type="textWrapping"/>
            </w:r>
            <w:r>
              <w:rPr>
                <w:rFonts w:ascii="宋体" w:hAnsi="宋体" w:eastAsia="宋体" w:cs="宋体"/>
                <w:sz w:val="24"/>
              </w:rPr>
              <w:t>d) 应在与外包运维服务商签订的协议中明确所有相关的安全要求，如可能涉及对敏感信息的访问、处理、存储要求，对IT基础设施中断服务的应急保障要求等。</w:t>
            </w:r>
          </w:p>
        </w:tc>
      </w:tr>
    </w:tbl>
    <w:p>
      <w:pPr>
        <w:pStyle w:val="48"/>
        <w:jc w:val="left"/>
      </w:pPr>
      <w:r>
        <w:rPr>
          <w:rFonts w:ascii="宋体" w:hAnsi="宋体" w:eastAsia="宋体" w:cs="宋体"/>
          <w:b/>
          <w:sz w:val="24"/>
        </w:rPr>
        <w:t>3.2三级系统扩展指标要求</w:t>
      </w:r>
    </w:p>
    <w:p>
      <w:pPr>
        <w:pStyle w:val="48"/>
        <w:jc w:val="left"/>
      </w:pPr>
      <w:r>
        <w:rPr>
          <w:rFonts w:ascii="宋体" w:hAnsi="宋体" w:eastAsia="宋体" w:cs="宋体"/>
          <w:b/>
          <w:sz w:val="24"/>
        </w:rPr>
        <w:t>3.2.1云计算安全扩展要求</w:t>
      </w:r>
    </w:p>
    <w:tbl>
      <w:tblPr>
        <w:tblStyle w:val="18"/>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08"/>
        <w:gridCol w:w="1113"/>
        <w:gridCol w:w="7339"/>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b/>
                <w:sz w:val="24"/>
              </w:rPr>
              <w:t>分类</w:t>
            </w:r>
          </w:p>
        </w:tc>
        <w:tc>
          <w:tcPr>
            <w:tcW w:w="111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b/>
                <w:sz w:val="24"/>
              </w:rPr>
              <w:t>子类</w:t>
            </w:r>
          </w:p>
        </w:tc>
        <w:tc>
          <w:tcPr>
            <w:tcW w:w="733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b/>
                <w:sz w:val="24"/>
              </w:rPr>
              <w:t>基本要求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安全物理环境</w:t>
            </w: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基础设施位置</w:t>
            </w:r>
          </w:p>
        </w:tc>
        <w:tc>
          <w:tcPr>
            <w:tcW w:w="73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应保证云计算基础设施位于中国境内。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安全通信网络</w:t>
            </w: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网络架构</w:t>
            </w:r>
          </w:p>
        </w:tc>
        <w:tc>
          <w:tcPr>
            <w:tcW w:w="73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a) 应保证云计算平台不承载高于其安全保护等级的业务应用系统;</w:t>
            </w:r>
            <w:r>
              <w:br w:type="textWrapping"/>
            </w:r>
            <w:r>
              <w:rPr>
                <w:rFonts w:ascii="宋体" w:hAnsi="宋体" w:eastAsia="宋体" w:cs="宋体"/>
                <w:sz w:val="24"/>
              </w:rPr>
              <w:t>b) 应实现不同云服务客户虚拟网络之间的隔离;</w:t>
            </w:r>
            <w:r>
              <w:br w:type="textWrapping"/>
            </w:r>
            <w:r>
              <w:rPr>
                <w:rFonts w:ascii="宋体" w:hAnsi="宋体" w:eastAsia="宋体" w:cs="宋体"/>
                <w:sz w:val="24"/>
              </w:rPr>
              <w:t>c) 应具有根据云服务客户业务需求提供通信传输、边界防护、入侵防范等安全机制的能力;</w:t>
            </w:r>
            <w:r>
              <w:br w:type="textWrapping"/>
            </w:r>
            <w:r>
              <w:rPr>
                <w:rFonts w:ascii="宋体" w:hAnsi="宋体" w:eastAsia="宋体" w:cs="宋体"/>
                <w:sz w:val="24"/>
              </w:rPr>
              <w:t>d）应具有根据云服务客户业务需求自主设置安全策略的能力，包括定义访问路径、选择安全组件、配置安全策略;</w:t>
            </w:r>
            <w:r>
              <w:br w:type="textWrapping"/>
            </w:r>
            <w:r>
              <w:rPr>
                <w:rFonts w:ascii="宋体" w:hAnsi="宋体" w:eastAsia="宋体" w:cs="宋体"/>
                <w:sz w:val="24"/>
              </w:rPr>
              <w:t>e) 应提供开放接口或开放性安全服务，允许云服务客户接入第三方安全产品或在云计算平台选择第三方安全服务。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安全区域边界</w:t>
            </w: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访问控制</w:t>
            </w:r>
          </w:p>
        </w:tc>
        <w:tc>
          <w:tcPr>
            <w:tcW w:w="73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a) 应在虚拟化网络边界部署访问控制机制，并设置访问控制规则;</w:t>
            </w:r>
            <w:r>
              <w:br w:type="textWrapping"/>
            </w:r>
            <w:r>
              <w:rPr>
                <w:rFonts w:ascii="宋体" w:hAnsi="宋体" w:eastAsia="宋体" w:cs="宋体"/>
                <w:sz w:val="24"/>
              </w:rPr>
              <w:t>b) 应在不同等级的网络区域边界部署访问控制机制，设置访问控制规则。</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入侵防范</w:t>
            </w:r>
          </w:p>
        </w:tc>
        <w:tc>
          <w:tcPr>
            <w:tcW w:w="73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 xml:space="preserve">a) 应能检测到云服务客户发起的网络攻击行为，并能记录攻击类型、攻击时间、攻击流量等; </w:t>
            </w:r>
            <w:r>
              <w:br w:type="textWrapping"/>
            </w:r>
            <w:r>
              <w:rPr>
                <w:rFonts w:ascii="宋体" w:hAnsi="宋体" w:eastAsia="宋体" w:cs="宋体"/>
                <w:sz w:val="24"/>
              </w:rPr>
              <w:t xml:space="preserve">b) 应能检测到对虚拟网络节点的网络攻击行为，并能记录攻击类型、攻击时间、攻击流量等; </w:t>
            </w:r>
            <w:r>
              <w:br w:type="textWrapping"/>
            </w:r>
            <w:r>
              <w:rPr>
                <w:rFonts w:ascii="宋体" w:hAnsi="宋体" w:eastAsia="宋体" w:cs="宋体"/>
                <w:sz w:val="24"/>
              </w:rPr>
              <w:t>c) 应能检测到虚拟机与宿主机、虚拟机与虚拟机之间的异常流量;</w:t>
            </w:r>
            <w:r>
              <w:br w:type="textWrapping"/>
            </w:r>
            <w:r>
              <w:rPr>
                <w:rFonts w:ascii="宋体" w:hAnsi="宋体" w:eastAsia="宋体" w:cs="宋体"/>
                <w:sz w:val="24"/>
              </w:rPr>
              <w:t>d）应在检测到网络攻击行为、异常流量情况时进行告警。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安全审计</w:t>
            </w:r>
          </w:p>
        </w:tc>
        <w:tc>
          <w:tcPr>
            <w:tcW w:w="73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a) 应对云服务商和云服务客户在远程管理时执行的特权命令进行审计，至少包括虚拟机删除、</w:t>
            </w:r>
            <w:r>
              <w:br w:type="textWrapping"/>
            </w:r>
            <w:r>
              <w:rPr>
                <w:rFonts w:ascii="宋体" w:hAnsi="宋体" w:eastAsia="宋体" w:cs="宋体"/>
                <w:sz w:val="24"/>
              </w:rPr>
              <w:t xml:space="preserve">虚拟机重启; </w:t>
            </w:r>
            <w:r>
              <w:br w:type="textWrapping"/>
            </w:r>
            <w:r>
              <w:rPr>
                <w:rFonts w:ascii="宋体" w:hAnsi="宋体" w:eastAsia="宋体" w:cs="宋体"/>
                <w:sz w:val="24"/>
              </w:rPr>
              <w:t>b) 应保证云服务商对云服务客户系统和数据的操作可被云服务客户审计。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安全计算环境</w:t>
            </w: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身份鉴别</w:t>
            </w:r>
          </w:p>
        </w:tc>
        <w:tc>
          <w:tcPr>
            <w:tcW w:w="73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当远程管理云计算平台中设备时，管理终端和云计算平台之间应建立双向身份验证机制。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访问控制</w:t>
            </w:r>
          </w:p>
        </w:tc>
        <w:tc>
          <w:tcPr>
            <w:tcW w:w="73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a) 应保证当虚拟机迁移时，访问控制策略随其迁移;</w:t>
            </w:r>
            <w:r>
              <w:br w:type="textWrapping"/>
            </w:r>
            <w:r>
              <w:rPr>
                <w:rFonts w:ascii="宋体" w:hAnsi="宋体" w:eastAsia="宋体" w:cs="宋体"/>
                <w:sz w:val="24"/>
              </w:rPr>
              <w:t>b) 应允许云服务客户设置不同虚拟机之间的访问控制策略。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入侵防范</w:t>
            </w:r>
          </w:p>
        </w:tc>
        <w:tc>
          <w:tcPr>
            <w:tcW w:w="73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a）应能检测虚拟机之间的资源隔离失效，并进行告警;</w:t>
            </w:r>
            <w:r>
              <w:br w:type="textWrapping"/>
            </w:r>
            <w:r>
              <w:rPr>
                <w:rFonts w:ascii="宋体" w:hAnsi="宋体" w:eastAsia="宋体" w:cs="宋体"/>
                <w:sz w:val="24"/>
              </w:rPr>
              <w:t>b）应能检测非授权新建虚拟机或者重新启用虚拟机，并进行告警;</w:t>
            </w:r>
            <w:r>
              <w:br w:type="textWrapping"/>
            </w:r>
            <w:r>
              <w:rPr>
                <w:rFonts w:ascii="宋体" w:hAnsi="宋体" w:eastAsia="宋体" w:cs="宋体"/>
                <w:sz w:val="24"/>
              </w:rPr>
              <w:t>c）应能够检测恶意代码感染及在虚拟机间蔓延的情况，并进行告警。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镜像和快照保护</w:t>
            </w:r>
          </w:p>
        </w:tc>
        <w:tc>
          <w:tcPr>
            <w:tcW w:w="73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 xml:space="preserve">a) 应针对重要业务系统提供加固的操作系统镜像或操作系统安全加固服务; </w:t>
            </w:r>
            <w:r>
              <w:br w:type="textWrapping"/>
            </w:r>
            <w:r>
              <w:rPr>
                <w:rFonts w:ascii="宋体" w:hAnsi="宋体" w:eastAsia="宋体" w:cs="宋体"/>
                <w:sz w:val="24"/>
              </w:rPr>
              <w:t>b) 应提供虚拟机镜像、快照完整性校验功能，防止虚拟机镜像被恶意篡改;</w:t>
            </w:r>
            <w:r>
              <w:br w:type="textWrapping"/>
            </w:r>
            <w:r>
              <w:rPr>
                <w:rFonts w:ascii="宋体" w:hAnsi="宋体" w:eastAsia="宋体" w:cs="宋体"/>
                <w:sz w:val="24"/>
              </w:rPr>
              <w:t>c）应采取密码技术或其他技术手段防止虚拟机镜像、快照中可能存在的敏感资源被非法访问。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数据完整性和保密性</w:t>
            </w:r>
          </w:p>
        </w:tc>
        <w:tc>
          <w:tcPr>
            <w:tcW w:w="73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a) 应确保云服务客户数据、用户个人信息等存储于中国境内，如需出境应遵循国家相关规定;</w:t>
            </w:r>
            <w:r>
              <w:br w:type="textWrapping"/>
            </w:r>
            <w:r>
              <w:rPr>
                <w:rFonts w:ascii="宋体" w:hAnsi="宋体" w:eastAsia="宋体" w:cs="宋体"/>
                <w:sz w:val="24"/>
              </w:rPr>
              <w:t xml:space="preserve">b) 应确保只有在云服务客户授权下，云服务商或第三方才具有云服务客户数据的管理权限; </w:t>
            </w:r>
            <w:r>
              <w:br w:type="textWrapping"/>
            </w:r>
            <w:r>
              <w:rPr>
                <w:rFonts w:ascii="宋体" w:hAnsi="宋体" w:eastAsia="宋体" w:cs="宋体"/>
                <w:sz w:val="24"/>
              </w:rPr>
              <w:t>c）应使用校验码或密码技术确保虚拟机迁移过程中重要数据的完整性，并在检测到完整性受到破坏时采取必要的恢复措施;</w:t>
            </w:r>
            <w:r>
              <w:br w:type="textWrapping"/>
            </w:r>
            <w:r>
              <w:rPr>
                <w:rFonts w:ascii="宋体" w:hAnsi="宋体" w:eastAsia="宋体" w:cs="宋体"/>
                <w:sz w:val="24"/>
              </w:rPr>
              <w:t>d）应支持云服务客户部署密钥管理解决方案，保证云服务客户自行实现数据的加解密过程。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数据备份恢复</w:t>
            </w:r>
          </w:p>
        </w:tc>
        <w:tc>
          <w:tcPr>
            <w:tcW w:w="73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 xml:space="preserve">a) 云服务客户应在本地保存其业务数据的备份; </w:t>
            </w:r>
            <w:r>
              <w:br w:type="textWrapping"/>
            </w:r>
            <w:r>
              <w:rPr>
                <w:rFonts w:ascii="宋体" w:hAnsi="宋体" w:eastAsia="宋体" w:cs="宋体"/>
                <w:sz w:val="24"/>
              </w:rPr>
              <w:t>b) 应提供查询云服务客户数据及备份存储位置的能力;</w:t>
            </w:r>
            <w:r>
              <w:br w:type="textWrapping"/>
            </w:r>
            <w:r>
              <w:rPr>
                <w:rFonts w:ascii="宋体" w:hAnsi="宋体" w:eastAsia="宋体" w:cs="宋体"/>
                <w:sz w:val="24"/>
              </w:rPr>
              <w:t>c）云服务商的云存储服务应保证云服务客户数据存在若干个可用的副本，各副本之间的内容应保持一致;</w:t>
            </w:r>
            <w:r>
              <w:br w:type="textWrapping"/>
            </w:r>
            <w:r>
              <w:rPr>
                <w:rFonts w:ascii="宋体" w:hAnsi="宋体" w:eastAsia="宋体" w:cs="宋体"/>
                <w:sz w:val="24"/>
              </w:rPr>
              <w:t>d）应为云服务客户将业务系统及数据迁移到其他云计算平台和本地系统提供技术手段，并协助完成迁移过程。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剩余信息保护</w:t>
            </w:r>
          </w:p>
        </w:tc>
        <w:tc>
          <w:tcPr>
            <w:tcW w:w="73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 xml:space="preserve">a) 应保证虚拟机所使用的内存和存储空间回收时得到完全清除; </w:t>
            </w:r>
            <w:r>
              <w:br w:type="textWrapping"/>
            </w:r>
            <w:r>
              <w:rPr>
                <w:rFonts w:ascii="宋体" w:hAnsi="宋体" w:eastAsia="宋体" w:cs="宋体"/>
                <w:sz w:val="24"/>
              </w:rPr>
              <w:t>b) 云服务客户删除业务应用数据时，云计算平台应将云存储中所有副本删除。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安全管理中心</w:t>
            </w: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集中管控</w:t>
            </w:r>
          </w:p>
        </w:tc>
        <w:tc>
          <w:tcPr>
            <w:tcW w:w="73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a）应能对物理资源和虚拟资源按照策略做统一管理调度与分配;</w:t>
            </w:r>
            <w:r>
              <w:br w:type="textWrapping"/>
            </w:r>
            <w:r>
              <w:rPr>
                <w:rFonts w:ascii="宋体" w:hAnsi="宋体" w:eastAsia="宋体" w:cs="宋体"/>
                <w:sz w:val="24"/>
              </w:rPr>
              <w:t>b）应保证云计算平台管理流量与云服务客户业务流量分离;</w:t>
            </w:r>
            <w:r>
              <w:br w:type="textWrapping"/>
            </w:r>
            <w:r>
              <w:rPr>
                <w:rFonts w:ascii="宋体" w:hAnsi="宋体" w:eastAsia="宋体" w:cs="宋体"/>
                <w:sz w:val="24"/>
              </w:rPr>
              <w:t>c）应根据云服务商和云服务客户的职责划分，收集各自控制部分的审计数据并实现各自的集中审计;</w:t>
            </w:r>
            <w:r>
              <w:br w:type="textWrapping"/>
            </w:r>
            <w:r>
              <w:rPr>
                <w:rFonts w:ascii="宋体" w:hAnsi="宋体" w:eastAsia="宋体" w:cs="宋体"/>
                <w:sz w:val="24"/>
              </w:rPr>
              <w:t>d）应根据云服务商和云服务客户的职责划分，实现各自控制部分，包括虚拟化网络、虚拟机、虚拟化安全设备等的运行状况的集中监测。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安全建设管理</w:t>
            </w: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云服务商选择</w:t>
            </w:r>
          </w:p>
        </w:tc>
        <w:tc>
          <w:tcPr>
            <w:tcW w:w="73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a) 应选择安全合规的云服务商，其所提供的云计算平台应为其所承载的业务应用系统提供相应等</w:t>
            </w:r>
            <w:r>
              <w:br w:type="textWrapping"/>
            </w:r>
            <w:r>
              <w:rPr>
                <w:rFonts w:ascii="宋体" w:hAnsi="宋体" w:eastAsia="宋体" w:cs="宋体"/>
                <w:sz w:val="24"/>
              </w:rPr>
              <w:t>级的安全保护能力;</w:t>
            </w:r>
            <w:r>
              <w:br w:type="textWrapping"/>
            </w:r>
            <w:r>
              <w:rPr>
                <w:rFonts w:ascii="宋体" w:hAnsi="宋体" w:eastAsia="宋体" w:cs="宋体"/>
                <w:sz w:val="24"/>
              </w:rPr>
              <w:t>b) 应在服务水平协议中规定云服务的各项服务内容和具体技术指标;</w:t>
            </w:r>
            <w:r>
              <w:br w:type="textWrapping"/>
            </w:r>
            <w:r>
              <w:rPr>
                <w:rFonts w:ascii="宋体" w:hAnsi="宋体" w:eastAsia="宋体" w:cs="宋体"/>
                <w:sz w:val="24"/>
              </w:rPr>
              <w:t>c) 应在服务水平协议中规定云服务商的权限与责任，包括管理范围、职责划分、访问授权、隐私</w:t>
            </w:r>
            <w:r>
              <w:br w:type="textWrapping"/>
            </w:r>
            <w:r>
              <w:rPr>
                <w:rFonts w:ascii="宋体" w:hAnsi="宋体" w:eastAsia="宋体" w:cs="宋体"/>
                <w:sz w:val="24"/>
              </w:rPr>
              <w:t xml:space="preserve">保护、行为准则、违约责任等; </w:t>
            </w:r>
            <w:r>
              <w:br w:type="textWrapping"/>
            </w:r>
            <w:r>
              <w:rPr>
                <w:rFonts w:ascii="宋体" w:hAnsi="宋体" w:eastAsia="宋体" w:cs="宋体"/>
                <w:sz w:val="24"/>
              </w:rPr>
              <w:t>d) 应在服务水平协议中规定服务合约到期时，完整提供云服务客户数据，并承诺相关数据在云</w:t>
            </w:r>
            <w:r>
              <w:br w:type="textWrapping"/>
            </w:r>
            <w:r>
              <w:rPr>
                <w:rFonts w:ascii="宋体" w:hAnsi="宋体" w:eastAsia="宋体" w:cs="宋体"/>
                <w:sz w:val="24"/>
              </w:rPr>
              <w:t>计算平台上清除;</w:t>
            </w:r>
            <w:r>
              <w:br w:type="textWrapping"/>
            </w:r>
            <w:r>
              <w:rPr>
                <w:rFonts w:ascii="宋体" w:hAnsi="宋体" w:eastAsia="宋体" w:cs="宋体"/>
                <w:sz w:val="24"/>
              </w:rPr>
              <w:t>e）应与选定的云服务商签署保密协议，要求其不得泄露云服务客户数据。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供应链管理</w:t>
            </w:r>
          </w:p>
        </w:tc>
        <w:tc>
          <w:tcPr>
            <w:tcW w:w="73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 xml:space="preserve">a) 应确保供应商的选择符合国家有关规定; </w:t>
            </w:r>
            <w:r>
              <w:br w:type="textWrapping"/>
            </w:r>
            <w:r>
              <w:rPr>
                <w:rFonts w:ascii="宋体" w:hAnsi="宋体" w:eastAsia="宋体" w:cs="宋体"/>
                <w:sz w:val="24"/>
              </w:rPr>
              <w:t>b) 应将供应链安全事件信息或安全威胁信息及时传达到云服务客户;</w:t>
            </w:r>
            <w:r>
              <w:br w:type="textWrapping"/>
            </w:r>
            <w:r>
              <w:rPr>
                <w:rFonts w:ascii="宋体" w:hAnsi="宋体" w:eastAsia="宋体" w:cs="宋体"/>
                <w:sz w:val="24"/>
              </w:rPr>
              <w:t>c) 应将供应商的重要变更及时传达到云服务客户，并评估变更带来的安全风险，采取措施对风险进行控制。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安全运维管理</w:t>
            </w: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云计算环境管理</w:t>
            </w:r>
          </w:p>
        </w:tc>
        <w:tc>
          <w:tcPr>
            <w:tcW w:w="733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云计算平台的运维地点应位于中国境内，境外对境内云计算平台实施运维操作应遵循国家相关规定。</w:t>
            </w:r>
          </w:p>
        </w:tc>
      </w:tr>
    </w:tbl>
    <w:p>
      <w:pPr>
        <w:pStyle w:val="48"/>
        <w:jc w:val="left"/>
      </w:pPr>
      <w:r>
        <w:rPr>
          <w:rFonts w:ascii="宋体" w:hAnsi="宋体" w:eastAsia="宋体" w:cs="宋体"/>
          <w:b/>
          <w:sz w:val="24"/>
        </w:rPr>
        <w:t>3.2.2移动互联安全扩展要求</w:t>
      </w:r>
    </w:p>
    <w:tbl>
      <w:tblPr>
        <w:tblStyle w:val="18"/>
        <w:tblW w:w="9305"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08"/>
        <w:gridCol w:w="1113"/>
        <w:gridCol w:w="7384"/>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b/>
                <w:sz w:val="24"/>
              </w:rPr>
              <w:t>分类</w:t>
            </w:r>
          </w:p>
        </w:tc>
        <w:tc>
          <w:tcPr>
            <w:tcW w:w="111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b/>
                <w:sz w:val="24"/>
              </w:rPr>
              <w:t>子类</w:t>
            </w:r>
          </w:p>
        </w:tc>
        <w:tc>
          <w:tcPr>
            <w:tcW w:w="738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b/>
                <w:sz w:val="24"/>
              </w:rPr>
              <w:t>基本要求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安全物理环境</w:t>
            </w:r>
          </w:p>
        </w:tc>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无线接入点的物理位置</w:t>
            </w:r>
          </w:p>
        </w:tc>
        <w:tc>
          <w:tcPr>
            <w:tcW w:w="73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应为无线接入设备的安装选择合理位置，避免过度覆盖和电磁干扰。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安全区域边界</w:t>
            </w:r>
          </w:p>
        </w:tc>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边界防护</w:t>
            </w:r>
          </w:p>
        </w:tc>
        <w:tc>
          <w:tcPr>
            <w:tcW w:w="73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应保证有线网络与无线网络边界之间的访问和数据流通过无线接入网关设备。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tc>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访问控制</w:t>
            </w:r>
          </w:p>
        </w:tc>
        <w:tc>
          <w:tcPr>
            <w:tcW w:w="73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无线接入设备应开启接入认证功能，并支持采用认证服务器认证或国家密码管理机构批准的密码模块进行认证。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tc>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入侵防范</w:t>
            </w:r>
          </w:p>
        </w:tc>
        <w:tc>
          <w:tcPr>
            <w:tcW w:w="73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 xml:space="preserve">a) 应能够检测到非授权无线接入设备和非授权移动终端的接入行为; </w:t>
            </w:r>
            <w:r>
              <w:br w:type="textWrapping"/>
            </w:r>
            <w:r>
              <w:rPr>
                <w:rFonts w:ascii="宋体" w:hAnsi="宋体" w:eastAsia="宋体" w:cs="宋体"/>
                <w:sz w:val="24"/>
              </w:rPr>
              <w:t>b) 应能够检测到针对无线接入设备的网络扫描、DDoS 攻击、密钥破解、中间人攻击和欺骗攻击</w:t>
            </w:r>
            <w:r>
              <w:br w:type="textWrapping"/>
            </w:r>
            <w:r>
              <w:rPr>
                <w:rFonts w:ascii="宋体" w:hAnsi="宋体" w:eastAsia="宋体" w:cs="宋体"/>
                <w:sz w:val="24"/>
              </w:rPr>
              <w:t xml:space="preserve">等行为; </w:t>
            </w:r>
            <w:r>
              <w:br w:type="textWrapping"/>
            </w:r>
            <w:r>
              <w:rPr>
                <w:rFonts w:ascii="宋体" w:hAnsi="宋体" w:eastAsia="宋体" w:cs="宋体"/>
                <w:sz w:val="24"/>
              </w:rPr>
              <w:t xml:space="preserve">c) 应能够检测到无线接入设备的 SSID 广播、WPS 等高风险功能的开启状态; </w:t>
            </w:r>
            <w:r>
              <w:br w:type="textWrapping"/>
            </w:r>
            <w:r>
              <w:rPr>
                <w:rFonts w:ascii="宋体" w:hAnsi="宋体" w:eastAsia="宋体" w:cs="宋体"/>
                <w:sz w:val="24"/>
              </w:rPr>
              <w:t xml:space="preserve">d) 应禁用无线接入设备和无线接入网关存在风险的功能，如;SSID 广播、WEP 认证等; </w:t>
            </w:r>
            <w:r>
              <w:br w:type="textWrapping"/>
            </w:r>
            <w:r>
              <w:rPr>
                <w:rFonts w:ascii="宋体" w:hAnsi="宋体" w:eastAsia="宋体" w:cs="宋体"/>
                <w:sz w:val="24"/>
              </w:rPr>
              <w:t>e) 应禁止多个 AP 使用同一个认证密钥;</w:t>
            </w:r>
            <w:r>
              <w:br w:type="textWrapping"/>
            </w:r>
            <w:r>
              <w:rPr>
                <w:rFonts w:ascii="宋体" w:hAnsi="宋体" w:eastAsia="宋体" w:cs="宋体"/>
                <w:sz w:val="24"/>
              </w:rPr>
              <w:t>f）应能够阻断非授权无线接入设备或非授权移动终端。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安全计算环境</w:t>
            </w:r>
          </w:p>
        </w:tc>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移动终端管控</w:t>
            </w:r>
          </w:p>
        </w:tc>
        <w:tc>
          <w:tcPr>
            <w:tcW w:w="73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a）应保证移动终端安装、注册并运行终端管理客户端软件;</w:t>
            </w:r>
            <w:r>
              <w:br w:type="textWrapping"/>
            </w:r>
            <w:r>
              <w:rPr>
                <w:rFonts w:ascii="宋体" w:hAnsi="宋体" w:eastAsia="宋体" w:cs="宋体"/>
                <w:sz w:val="24"/>
              </w:rPr>
              <w:t>b）移动终端应接受移动终端管理服务端的设备生命周期管理、设备远程控制，如;远程锁定、远程擦除等。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tc>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移动应用管控</w:t>
            </w:r>
          </w:p>
        </w:tc>
        <w:tc>
          <w:tcPr>
            <w:tcW w:w="73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 xml:space="preserve">a) 应具有选择应用软件安装、运行的功能; </w:t>
            </w:r>
            <w:r>
              <w:br w:type="textWrapping"/>
            </w:r>
            <w:r>
              <w:rPr>
                <w:rFonts w:ascii="宋体" w:hAnsi="宋体" w:eastAsia="宋体" w:cs="宋体"/>
                <w:sz w:val="24"/>
              </w:rPr>
              <w:t>b) 应只允许可靠证书签名的应用软件安装和运行;</w:t>
            </w:r>
            <w:r>
              <w:br w:type="textWrapping"/>
            </w:r>
            <w:r>
              <w:rPr>
                <w:rFonts w:ascii="宋体" w:hAnsi="宋体" w:eastAsia="宋体" w:cs="宋体"/>
                <w:sz w:val="24"/>
              </w:rPr>
              <w:t>c）应具有软件白名单功能，应能根据白名单控制应用软件安装、运行。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安全建设管理</w:t>
            </w:r>
          </w:p>
        </w:tc>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移动应用软件采购</w:t>
            </w:r>
          </w:p>
        </w:tc>
        <w:tc>
          <w:tcPr>
            <w:tcW w:w="73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 xml:space="preserve">a) 应保证移动终端安装、运行的应用软件来自可靠分发渠道或使用可靠证书签名; </w:t>
            </w:r>
            <w:r>
              <w:br w:type="textWrapping"/>
            </w:r>
            <w:r>
              <w:rPr>
                <w:rFonts w:ascii="宋体" w:hAnsi="宋体" w:eastAsia="宋体" w:cs="宋体"/>
                <w:sz w:val="24"/>
              </w:rPr>
              <w:t>b) 应保证移动终端安装、运行的应用软件由指定的开发者开发。</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tc>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移动应用软件开发</w:t>
            </w:r>
          </w:p>
        </w:tc>
        <w:tc>
          <w:tcPr>
            <w:tcW w:w="73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 xml:space="preserve">a) 应对移动业务应用软件开发者进行资格审查; </w:t>
            </w:r>
            <w:r>
              <w:br w:type="textWrapping"/>
            </w:r>
            <w:r>
              <w:rPr>
                <w:rFonts w:ascii="宋体" w:hAnsi="宋体" w:eastAsia="宋体" w:cs="宋体"/>
                <w:sz w:val="24"/>
              </w:rPr>
              <w:t>b) 应保证开发移动业务应用软件的签名证书合法性。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安全运维管理</w:t>
            </w:r>
          </w:p>
        </w:tc>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配置管理</w:t>
            </w:r>
          </w:p>
        </w:tc>
        <w:tc>
          <w:tcPr>
            <w:tcW w:w="73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应建立合法无线接入设备和合法移动终端配置库，用于对非法无线接入设备和非法移动终端的识别。</w:t>
            </w:r>
          </w:p>
        </w:tc>
      </w:tr>
    </w:tbl>
    <w:p>
      <w:pPr>
        <w:pStyle w:val="48"/>
        <w:jc w:val="left"/>
      </w:pPr>
      <w:r>
        <w:rPr>
          <w:rFonts w:ascii="宋体" w:hAnsi="宋体" w:eastAsia="宋体" w:cs="宋体"/>
          <w:b/>
          <w:sz w:val="24"/>
        </w:rPr>
        <w:t>3.2.3</w:t>
      </w:r>
    </w:p>
    <w:tbl>
      <w:tblPr>
        <w:tblStyle w:val="18"/>
        <w:tblW w:w="9305"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08"/>
        <w:gridCol w:w="1113"/>
        <w:gridCol w:w="7384"/>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b/>
                <w:sz w:val="24"/>
              </w:rPr>
              <w:t>分类</w:t>
            </w:r>
          </w:p>
        </w:tc>
        <w:tc>
          <w:tcPr>
            <w:tcW w:w="111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b/>
                <w:sz w:val="24"/>
              </w:rPr>
              <w:t>子类</w:t>
            </w:r>
          </w:p>
        </w:tc>
        <w:tc>
          <w:tcPr>
            <w:tcW w:w="738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b/>
                <w:sz w:val="24"/>
              </w:rPr>
              <w:t>基本要求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安全物理环境</w:t>
            </w:r>
          </w:p>
        </w:tc>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感知节点设备物理防护</w:t>
            </w:r>
          </w:p>
        </w:tc>
        <w:tc>
          <w:tcPr>
            <w:tcW w:w="73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a) 感知节点设备所处的物理环境应不对感知节点设备造成物理破坏，如挤压、强振动;</w:t>
            </w:r>
            <w:r>
              <w:br w:type="textWrapping"/>
            </w:r>
            <w:r>
              <w:rPr>
                <w:rFonts w:ascii="宋体" w:hAnsi="宋体" w:eastAsia="宋体" w:cs="宋体"/>
                <w:sz w:val="24"/>
              </w:rPr>
              <w:t>b) 感知节点设备在工作状态所处物理环境应能正确反映环境状态（如温湿度传感器不能安装在阳光直射区域）;</w:t>
            </w:r>
            <w:r>
              <w:br w:type="textWrapping"/>
            </w:r>
            <w:r>
              <w:rPr>
                <w:rFonts w:ascii="宋体" w:hAnsi="宋体" w:eastAsia="宋体" w:cs="宋体"/>
                <w:sz w:val="24"/>
              </w:rPr>
              <w:t>c) 感知节点设备在工作状态所处物理环境应不对感知节点设备的正常工作造成影响，如强干扰、阻挡屏蔽等；</w:t>
            </w:r>
          </w:p>
          <w:p>
            <w:pPr>
              <w:pStyle w:val="48"/>
              <w:jc w:val="both"/>
            </w:pPr>
            <w:r>
              <w:rPr>
                <w:rFonts w:ascii="宋体" w:hAnsi="宋体" w:eastAsia="宋体" w:cs="宋体"/>
                <w:sz w:val="24"/>
              </w:rPr>
              <w:t>d）关键感知节点设备应具有可供长时间工作的电力供应（关键网关节点设备应具有持久稳定的电力供应能力）。</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安全区域边界</w:t>
            </w:r>
          </w:p>
        </w:tc>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接入控制</w:t>
            </w:r>
          </w:p>
        </w:tc>
        <w:tc>
          <w:tcPr>
            <w:tcW w:w="73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应保证只有授权的感知节点可以接入。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tc>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入侵防范</w:t>
            </w:r>
          </w:p>
        </w:tc>
        <w:tc>
          <w:tcPr>
            <w:tcW w:w="73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 xml:space="preserve">a) 应能够限制与感知节点通信的目标地址，以避免对陌生地址的攻击行为; </w:t>
            </w:r>
            <w:r>
              <w:br w:type="textWrapping"/>
            </w:r>
            <w:r>
              <w:rPr>
                <w:rFonts w:ascii="宋体" w:hAnsi="宋体" w:eastAsia="宋体" w:cs="宋体"/>
                <w:sz w:val="24"/>
              </w:rPr>
              <w:t>b) 应能够限制与网关节点通信的目标地址，以避免对陌生地址的攻击行为。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安全计算环境</w:t>
            </w:r>
          </w:p>
        </w:tc>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感知节点设备安全</w:t>
            </w:r>
          </w:p>
        </w:tc>
        <w:tc>
          <w:tcPr>
            <w:tcW w:w="73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a）应保证只有授权的用户可以对感知节点设备上的软件应用进行配置或变更;</w:t>
            </w:r>
            <w:r>
              <w:br w:type="textWrapping"/>
            </w:r>
            <w:r>
              <w:rPr>
                <w:rFonts w:ascii="宋体" w:hAnsi="宋体" w:eastAsia="宋体" w:cs="宋体"/>
                <w:sz w:val="24"/>
              </w:rPr>
              <w:t>b）应具有对其连接的网关节点设备（包括读卡器）进行身份标识和鉴别的能力;</w:t>
            </w:r>
            <w:r>
              <w:br w:type="textWrapping"/>
            </w:r>
            <w:r>
              <w:rPr>
                <w:rFonts w:ascii="宋体" w:hAnsi="宋体" w:eastAsia="宋体" w:cs="宋体"/>
                <w:sz w:val="24"/>
              </w:rPr>
              <w:t>c）应具有对其连接的其他感知节点设备（包括路由节点）进行身份标识和鉴别的能力。</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tc>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网关节点设备安全</w:t>
            </w:r>
          </w:p>
        </w:tc>
        <w:tc>
          <w:tcPr>
            <w:tcW w:w="73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a）应具备对合法连接设备（包括终端节点、路由节点，数据处理中心）进行标识和鉴别的能力;</w:t>
            </w:r>
            <w:r>
              <w:br w:type="textWrapping"/>
            </w:r>
            <w:r>
              <w:rPr>
                <w:rFonts w:ascii="宋体" w:hAnsi="宋体" w:eastAsia="宋体" w:cs="宋体"/>
                <w:sz w:val="24"/>
              </w:rPr>
              <w:t>b) 应具备过滤非法节点和伪造节点所发送的数据的能力;</w:t>
            </w:r>
            <w:r>
              <w:br w:type="textWrapping"/>
            </w:r>
            <w:r>
              <w:rPr>
                <w:rFonts w:ascii="宋体" w:hAnsi="宋体" w:eastAsia="宋体" w:cs="宋体"/>
                <w:sz w:val="24"/>
              </w:rPr>
              <w:t>c）授权用户应能够在设备使用过程中对关键密钥进行在线更新;</w:t>
            </w:r>
            <w:r>
              <w:br w:type="textWrapping"/>
            </w:r>
            <w:r>
              <w:rPr>
                <w:rFonts w:ascii="宋体" w:hAnsi="宋体" w:eastAsia="宋体" w:cs="宋体"/>
                <w:sz w:val="24"/>
              </w:rPr>
              <w:t>d）授权用户应能够在设备使用过程中对关键配置参数进行在线更新。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tc>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抗数据重放</w:t>
            </w:r>
          </w:p>
        </w:tc>
        <w:tc>
          <w:tcPr>
            <w:tcW w:w="73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a）应能够鉴别数据的新鲜性，避免历史数据的重放攻击;</w:t>
            </w:r>
            <w:r>
              <w:br w:type="textWrapping"/>
            </w:r>
            <w:r>
              <w:rPr>
                <w:rFonts w:ascii="宋体" w:hAnsi="宋体" w:eastAsia="宋体" w:cs="宋体"/>
                <w:sz w:val="24"/>
              </w:rPr>
              <w:t>b）应能够鉴别历史数据的非法修改，避免数据的修改重放攻击。</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tc>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数据融合处理</w:t>
            </w:r>
          </w:p>
        </w:tc>
        <w:tc>
          <w:tcPr>
            <w:tcW w:w="73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应对来自传感网的数据进行数据融合处理，使不同种类的数据可以在同一个平台被使用。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安全运维管理</w:t>
            </w:r>
          </w:p>
        </w:tc>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感知节点管理</w:t>
            </w:r>
          </w:p>
        </w:tc>
        <w:tc>
          <w:tcPr>
            <w:tcW w:w="73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8"/>
              <w:jc w:val="both"/>
            </w:pPr>
            <w:r>
              <w:rPr>
                <w:rFonts w:ascii="宋体" w:hAnsi="宋体" w:eastAsia="宋体" w:cs="宋体"/>
                <w:sz w:val="24"/>
              </w:rPr>
              <w:t>a) 应指定人员定期巡视感知节点设备、网关节点设备的部署环境，对可能影响感知节点设备、网关节点设备正常工作的环境异常进行记录和维护;</w:t>
            </w:r>
            <w:r>
              <w:br w:type="textWrapping"/>
            </w:r>
            <w:r>
              <w:rPr>
                <w:rFonts w:ascii="宋体" w:hAnsi="宋体" w:eastAsia="宋体" w:cs="宋体"/>
                <w:sz w:val="24"/>
              </w:rPr>
              <w:t>b) 应对感知节点设备、网关节点设备入库、存储、部署、携带、维修、丢失和报废等过程作出明确规定，并进行全程管理;</w:t>
            </w:r>
            <w:r>
              <w:br w:type="textWrapping"/>
            </w:r>
            <w:r>
              <w:rPr>
                <w:rFonts w:ascii="宋体" w:hAnsi="宋体" w:eastAsia="宋体" w:cs="宋体"/>
                <w:sz w:val="24"/>
              </w:rPr>
              <w:t>c）应加强对感知节点设备、网关节点设备部署环境的保密性管理，包括负责检查和维护的人员调离工作岗位应立即交还相关检查工具和检查维护记录等。</w:t>
            </w:r>
          </w:p>
        </w:tc>
      </w:tr>
    </w:tbl>
    <w:p>
      <w:pPr>
        <w:pStyle w:val="48"/>
        <w:jc w:val="left"/>
      </w:pPr>
      <w:r>
        <w:rPr>
          <w:rFonts w:ascii="宋体" w:hAnsi="宋体" w:eastAsia="宋体" w:cs="宋体"/>
          <w:b/>
          <w:sz w:val="24"/>
        </w:rPr>
        <w:t>3.2.4工业控制系统安全扩展要求</w:t>
      </w:r>
    </w:p>
    <w:tbl>
      <w:tblPr>
        <w:tblStyle w:val="18"/>
        <w:tblW w:w="9305"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08"/>
        <w:gridCol w:w="1113"/>
        <w:gridCol w:w="7384"/>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b/>
                <w:sz w:val="24"/>
              </w:rPr>
              <w:t>分类</w:t>
            </w:r>
          </w:p>
        </w:tc>
        <w:tc>
          <w:tcPr>
            <w:tcW w:w="111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b/>
                <w:sz w:val="24"/>
              </w:rPr>
              <w:t>子类</w:t>
            </w:r>
          </w:p>
        </w:tc>
        <w:tc>
          <w:tcPr>
            <w:tcW w:w="738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b/>
                <w:sz w:val="24"/>
              </w:rPr>
              <w:t>基本要求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安全物理环境</w:t>
            </w: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室外控制设备物理防护</w:t>
            </w:r>
          </w:p>
        </w:tc>
        <w:tc>
          <w:tcPr>
            <w:tcW w:w="738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left"/>
            </w:pPr>
            <w:r>
              <w:rPr>
                <w:rFonts w:ascii="宋体" w:hAnsi="宋体" w:eastAsia="宋体" w:cs="宋体"/>
                <w:sz w:val="24"/>
              </w:rPr>
              <w:t>a) 室外控制设备应放置于采用铁板或其他防火材料制作的箱体或装置中并紧固;箱体或装置具有透风、散热、防盗、防雨和防火能力等;</w:t>
            </w:r>
          </w:p>
          <w:p>
            <w:pPr>
              <w:pStyle w:val="48"/>
              <w:jc w:val="left"/>
            </w:pPr>
            <w:r>
              <w:rPr>
                <w:rFonts w:ascii="宋体" w:hAnsi="宋体" w:eastAsia="宋体" w:cs="宋体"/>
                <w:sz w:val="24"/>
              </w:rPr>
              <w:t>b) 室外控制设备放置应远离强电磁干扰、强热源等环境，如无法避免应及时做好应急处置及检修，保证设备正常运行。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安全通信网络</w:t>
            </w: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网络架构</w:t>
            </w:r>
          </w:p>
        </w:tc>
        <w:tc>
          <w:tcPr>
            <w:tcW w:w="738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left"/>
            </w:pPr>
            <w:r>
              <w:rPr>
                <w:rFonts w:ascii="宋体" w:hAnsi="宋体" w:eastAsia="宋体" w:cs="宋体"/>
                <w:sz w:val="24"/>
              </w:rPr>
              <w:t>a) 工业控制系统与企业其他系统之间应划分为两个区域，区域间应采用单向的技术隔离手段;</w:t>
            </w:r>
          </w:p>
          <w:p>
            <w:pPr>
              <w:pStyle w:val="48"/>
              <w:jc w:val="left"/>
            </w:pPr>
            <w:r>
              <w:rPr>
                <w:rFonts w:ascii="宋体" w:hAnsi="宋体" w:eastAsia="宋体" w:cs="宋体"/>
                <w:sz w:val="24"/>
              </w:rPr>
              <w:t>b) 工业控制系统内部应根据业务特点划分为不同的安全域，安全域之间应采用技术隔离手段;</w:t>
            </w:r>
          </w:p>
          <w:p>
            <w:pPr>
              <w:pStyle w:val="48"/>
              <w:jc w:val="left"/>
            </w:pPr>
            <w:r>
              <w:rPr>
                <w:rFonts w:ascii="宋体" w:hAnsi="宋体" w:eastAsia="宋体" w:cs="宋体"/>
                <w:sz w:val="24"/>
              </w:rPr>
              <w:t>c) 涉及实时控制和数据传输的工业控制系统，应使用独立的网络设备组网，在物理层面上实现与其它数据网及外部公共信息网的安全隔离。</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通信传输</w:t>
            </w:r>
          </w:p>
        </w:tc>
        <w:tc>
          <w:tcPr>
            <w:tcW w:w="738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left"/>
            </w:pPr>
            <w:r>
              <w:rPr>
                <w:rFonts w:ascii="宋体" w:hAnsi="宋体" w:eastAsia="宋体" w:cs="宋体"/>
                <w:sz w:val="24"/>
              </w:rPr>
              <w:t>在工业控制系统内使用广域网进行控制指令或相关数据交换的应采用加密认证技术手段实现身份认证、访问控制和数据加密传输。</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安全区域边界</w:t>
            </w: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访问控制</w:t>
            </w:r>
          </w:p>
        </w:tc>
        <w:tc>
          <w:tcPr>
            <w:tcW w:w="738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left"/>
            </w:pPr>
            <w:r>
              <w:rPr>
                <w:rFonts w:ascii="宋体" w:hAnsi="宋体" w:eastAsia="宋体" w:cs="宋体"/>
                <w:sz w:val="24"/>
              </w:rPr>
              <w:t>a) 应在工业控制系统与企业其他系统之间部署访问控制设备，配置访问控制策略，禁止任何穿越区域边界的 E-Mail、Web、Telnet、Rlogin、FTP 等通用网络服务;</w:t>
            </w:r>
          </w:p>
          <w:p>
            <w:pPr>
              <w:pStyle w:val="48"/>
              <w:jc w:val="left"/>
            </w:pPr>
            <w:r>
              <w:rPr>
                <w:rFonts w:ascii="宋体" w:hAnsi="宋体" w:eastAsia="宋体" w:cs="宋体"/>
                <w:sz w:val="24"/>
              </w:rPr>
              <w:t>b) 应在工业控制系统内安全域和安全域之间的边界防护机制失效时，及时进行报警。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拨号使用控制</w:t>
            </w:r>
          </w:p>
        </w:tc>
        <w:tc>
          <w:tcPr>
            <w:tcW w:w="738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left"/>
            </w:pPr>
            <w:r>
              <w:rPr>
                <w:rFonts w:ascii="宋体" w:hAnsi="宋体" w:eastAsia="宋体" w:cs="宋体"/>
                <w:sz w:val="24"/>
              </w:rPr>
              <w:t>a) 工业控制系统确需使用拨号访问服务的，应限制具有拨号访问权限的用户数量，并采取用户身份鉴别和访问控制等措施;</w:t>
            </w:r>
          </w:p>
          <w:p>
            <w:pPr>
              <w:pStyle w:val="48"/>
              <w:jc w:val="left"/>
            </w:pPr>
            <w:r>
              <w:rPr>
                <w:rFonts w:ascii="宋体" w:hAnsi="宋体" w:eastAsia="宋体" w:cs="宋体"/>
                <w:sz w:val="24"/>
              </w:rPr>
              <w:t>b）拨号服务器和客户端均应使用经安全加固的操作系统，并采取数字证书认证、传输加密和访问控制等措施。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无线使用控制</w:t>
            </w:r>
          </w:p>
        </w:tc>
        <w:tc>
          <w:tcPr>
            <w:tcW w:w="738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left"/>
            </w:pPr>
            <w:r>
              <w:rPr>
                <w:rFonts w:ascii="宋体" w:hAnsi="宋体" w:eastAsia="宋体" w:cs="宋体"/>
                <w:sz w:val="24"/>
              </w:rPr>
              <w:t>a) 应对所有参与无线通信的用户（人员、软件进程或者设备）提供唯一性标识和鉴别;</w:t>
            </w:r>
          </w:p>
          <w:p>
            <w:pPr>
              <w:pStyle w:val="48"/>
              <w:jc w:val="left"/>
            </w:pPr>
            <w:r>
              <w:rPr>
                <w:rFonts w:ascii="宋体" w:hAnsi="宋体" w:eastAsia="宋体" w:cs="宋体"/>
                <w:sz w:val="24"/>
              </w:rPr>
              <w:t>b) 应对所有参与无线通信的用户（人员、软件进程或者设备）进行授权以及执行使用进行限制;</w:t>
            </w:r>
          </w:p>
          <w:p>
            <w:pPr>
              <w:pStyle w:val="48"/>
              <w:jc w:val="left"/>
            </w:pPr>
            <w:r>
              <w:rPr>
                <w:rFonts w:ascii="宋体" w:hAnsi="宋体" w:eastAsia="宋体" w:cs="宋体"/>
                <w:sz w:val="24"/>
              </w:rPr>
              <w:t>c）应对无线通信采取传输加密的安全措施，实现传输报文的机密性保护;</w:t>
            </w:r>
          </w:p>
          <w:p>
            <w:pPr>
              <w:pStyle w:val="48"/>
              <w:jc w:val="left"/>
            </w:pPr>
            <w:r>
              <w:rPr>
                <w:rFonts w:ascii="宋体" w:hAnsi="宋体" w:eastAsia="宋体" w:cs="宋体"/>
                <w:sz w:val="24"/>
              </w:rPr>
              <w:t>d）对采用无线通信技术进行控制的工业控制系统，应能识别其物理环境中发射的未经授权的无线设备，报告未经授权试图接入或干扰控制系统的行为。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安全计算环境</w:t>
            </w: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控制设备安全</w:t>
            </w:r>
          </w:p>
        </w:tc>
        <w:tc>
          <w:tcPr>
            <w:tcW w:w="738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left"/>
            </w:pPr>
            <w:r>
              <w:rPr>
                <w:rFonts w:ascii="宋体" w:hAnsi="宋体" w:eastAsia="宋体" w:cs="宋体"/>
                <w:sz w:val="24"/>
              </w:rPr>
              <w:t>a) 控制设备自身应实现相应级别安全通用要求提出的身份鉴别、访问控制和安全审计等安全要求，如受条件限制控制设备无法实现上述要求，应由其上位控制或管理设备实现同等功能或通过管理手段控制;</w:t>
            </w:r>
          </w:p>
          <w:p>
            <w:pPr>
              <w:pStyle w:val="48"/>
              <w:jc w:val="left"/>
            </w:pPr>
            <w:r>
              <w:rPr>
                <w:rFonts w:ascii="宋体" w:hAnsi="宋体" w:eastAsia="宋体" w:cs="宋体"/>
                <w:sz w:val="24"/>
              </w:rPr>
              <w:t>b) 应在经过充分测试评估后，在不影响系统安全稳定运行的情况下对控制设备进行补丁更新、固件更新等工作;</w:t>
            </w:r>
          </w:p>
          <w:p>
            <w:pPr>
              <w:pStyle w:val="48"/>
              <w:jc w:val="left"/>
            </w:pPr>
            <w:r>
              <w:rPr>
                <w:rFonts w:ascii="宋体" w:hAnsi="宋体" w:eastAsia="宋体" w:cs="宋体"/>
                <w:sz w:val="24"/>
              </w:rPr>
              <w:t>c）应关闭或拆除控制设备的软盘驱动、光盘驱动、USB接口、串行口或多余网口等，确需保留的应通过相关的技术措施实施严格的监控管理;</w:t>
            </w:r>
          </w:p>
          <w:p>
            <w:pPr>
              <w:pStyle w:val="48"/>
              <w:jc w:val="left"/>
            </w:pPr>
            <w:r>
              <w:rPr>
                <w:rFonts w:ascii="宋体" w:hAnsi="宋体" w:eastAsia="宋体" w:cs="宋体"/>
                <w:sz w:val="24"/>
              </w:rPr>
              <w:t>d）应使用专用设备和专用软件对控制设备进行更新;</w:t>
            </w:r>
          </w:p>
          <w:p>
            <w:pPr>
              <w:pStyle w:val="48"/>
              <w:jc w:val="left"/>
            </w:pPr>
            <w:r>
              <w:rPr>
                <w:rFonts w:ascii="宋体" w:hAnsi="宋体" w:eastAsia="宋体" w:cs="宋体"/>
                <w:sz w:val="24"/>
              </w:rPr>
              <w:t>e）应保证控制设备在上线前经过安全性检测，避免控制设备固件中存在恶意代码程序。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安全建设管理</w:t>
            </w: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产品采购和使用</w:t>
            </w:r>
          </w:p>
        </w:tc>
        <w:tc>
          <w:tcPr>
            <w:tcW w:w="738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left"/>
            </w:pPr>
            <w:r>
              <w:rPr>
                <w:rFonts w:ascii="宋体" w:hAnsi="宋体" w:eastAsia="宋体" w:cs="宋体"/>
                <w:sz w:val="24"/>
              </w:rPr>
              <w:t>工业控制系统重要设备应通过专业机构的安全性检测后方可采购使用。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8" w:type="dxa"/>
            <w:vMerge w:val="continue"/>
            <w:tcBorders>
              <w:top w:val="nil"/>
              <w:left w:val="single" w:color="000000" w:sz="4" w:space="0"/>
              <w:bottom w:val="single" w:color="000000" w:sz="4" w:space="0"/>
              <w:right w:val="single" w:color="000000" w:sz="4" w:space="0"/>
            </w:tcBorders>
          </w:tcPr>
          <w:p/>
        </w:tc>
        <w:tc>
          <w:tcPr>
            <w:tcW w:w="111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center"/>
            </w:pPr>
            <w:r>
              <w:rPr>
                <w:rFonts w:ascii="宋体" w:hAnsi="宋体" w:eastAsia="宋体" w:cs="宋体"/>
                <w:sz w:val="24"/>
              </w:rPr>
              <w:t>外包软件开发</w:t>
            </w:r>
          </w:p>
        </w:tc>
        <w:tc>
          <w:tcPr>
            <w:tcW w:w="738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8"/>
              <w:jc w:val="left"/>
            </w:pPr>
            <w:r>
              <w:rPr>
                <w:rFonts w:ascii="宋体" w:hAnsi="宋体" w:eastAsia="宋体" w:cs="宋体"/>
                <w:sz w:val="24"/>
              </w:rPr>
              <w:t>应在外包开发合同中规定针对开发单位、供应商的约束条款，包括设备及系统在生命周期内有关保密、禁止关键技术扩散和设备行业专用等方面的内容。</w:t>
            </w:r>
          </w:p>
        </w:tc>
      </w:tr>
    </w:tbl>
    <w:p>
      <w:pPr>
        <w:pStyle w:val="48"/>
        <w:ind w:firstLine="422"/>
        <w:jc w:val="both"/>
      </w:pPr>
      <w:r>
        <w:rPr>
          <w:rFonts w:ascii="宋体" w:hAnsi="宋体" w:eastAsia="宋体" w:cs="宋体"/>
          <w:b/>
          <w:sz w:val="24"/>
        </w:rPr>
        <w:t>（二）网络安全知识培训服务</w:t>
      </w:r>
    </w:p>
    <w:p>
      <w:pPr>
        <w:pStyle w:val="48"/>
        <w:ind w:firstLine="420"/>
        <w:jc w:val="both"/>
      </w:pPr>
      <w:r>
        <w:rPr>
          <w:rFonts w:ascii="宋体" w:hAnsi="宋体" w:eastAsia="宋体" w:cs="宋体"/>
          <w:sz w:val="24"/>
        </w:rPr>
        <w:t>1、服务内容：安排具备《注册信息安全专业人员》证书的工程师，提供面向全院职工、面向信息科的专业技术人员两个层次人员的培训会各一次，培训内容包含：网络安全意识、相关法律法规以及网络安全技术等；</w:t>
      </w:r>
    </w:p>
    <w:p>
      <w:pPr>
        <w:pStyle w:val="48"/>
        <w:ind w:firstLine="420"/>
        <w:jc w:val="both"/>
      </w:pPr>
      <w:r>
        <w:rPr>
          <w:rFonts w:ascii="宋体" w:hAnsi="宋体" w:eastAsia="宋体" w:cs="宋体"/>
          <w:sz w:val="24"/>
        </w:rPr>
        <w:t>2、输出物：《培训计划》、培训课件和培训记录（图文）；</w:t>
      </w:r>
    </w:p>
    <w:p>
      <w:pPr>
        <w:pStyle w:val="48"/>
        <w:ind w:firstLine="420"/>
        <w:jc w:val="both"/>
      </w:pPr>
      <w:r>
        <w:rPr>
          <w:rFonts w:ascii="宋体" w:hAnsi="宋体" w:eastAsia="宋体" w:cs="宋体"/>
          <w:sz w:val="24"/>
        </w:rPr>
        <w:t>3、服务频次：合同期内完成全院职工及信息科专业技术人员安全意识培训服务至少各一次。</w:t>
      </w:r>
    </w:p>
    <w:p>
      <w:pPr>
        <w:pStyle w:val="48"/>
        <w:ind w:firstLine="420"/>
        <w:jc w:val="both"/>
      </w:pPr>
      <w:r>
        <w:rPr>
          <w:rFonts w:ascii="宋体" w:hAnsi="宋体" w:eastAsia="宋体" w:cs="宋体"/>
          <w:b/>
          <w:sz w:val="24"/>
        </w:rPr>
        <w:t>（三）安全制度建设服务</w:t>
      </w:r>
    </w:p>
    <w:p>
      <w:pPr>
        <w:pStyle w:val="48"/>
        <w:ind w:firstLine="420"/>
        <w:jc w:val="both"/>
      </w:pPr>
      <w:r>
        <w:rPr>
          <w:rFonts w:ascii="宋体" w:hAnsi="宋体" w:eastAsia="宋体" w:cs="宋体"/>
          <w:sz w:val="24"/>
        </w:rPr>
        <w:t>1、包括管理制度制定和发布、制度评审和修订，规划安全管理组织架构、各级组织主体职能、协作方式、安全考核评价等内容；并在安全管理、安全技术、安全运营等各方面，提出相关管理要求或指引。</w:t>
      </w:r>
    </w:p>
    <w:p>
      <w:pPr>
        <w:pStyle w:val="48"/>
        <w:ind w:firstLine="420"/>
        <w:jc w:val="both"/>
      </w:pPr>
      <w:r>
        <w:rPr>
          <w:rFonts w:ascii="宋体" w:hAnsi="宋体" w:eastAsia="宋体" w:cs="宋体"/>
          <w:sz w:val="24"/>
        </w:rPr>
        <w:t>2、输出物：网络安全制度汇编。</w:t>
      </w:r>
    </w:p>
    <w:p>
      <w:pPr>
        <w:pStyle w:val="48"/>
        <w:ind w:firstLine="422"/>
        <w:jc w:val="both"/>
      </w:pPr>
      <w:r>
        <w:rPr>
          <w:rFonts w:ascii="宋体" w:hAnsi="宋体" w:eastAsia="宋体" w:cs="宋体"/>
          <w:b/>
          <w:sz w:val="24"/>
        </w:rPr>
        <w:t>（四）应急演练咨询服务</w:t>
      </w:r>
    </w:p>
    <w:p>
      <w:pPr>
        <w:pStyle w:val="48"/>
        <w:ind w:firstLine="420"/>
        <w:jc w:val="both"/>
      </w:pPr>
      <w:r>
        <w:rPr>
          <w:rFonts w:ascii="宋体" w:hAnsi="宋体" w:eastAsia="宋体" w:cs="宋体"/>
          <w:sz w:val="24"/>
        </w:rPr>
        <w:t>1、服务内容：协助医院信息科编制网络安全应急预案，为医院提高应对网络与信息安全事件的处置能力提供帮助。</w:t>
      </w:r>
    </w:p>
    <w:p>
      <w:pPr>
        <w:pStyle w:val="48"/>
        <w:ind w:firstLine="420"/>
        <w:jc w:val="both"/>
      </w:pPr>
      <w:r>
        <w:rPr>
          <w:rFonts w:ascii="宋体" w:hAnsi="宋体" w:eastAsia="宋体" w:cs="宋体"/>
          <w:sz w:val="24"/>
        </w:rPr>
        <w:t>2、输出物《网络安全应急预案》。</w:t>
      </w:r>
    </w:p>
    <w:p>
      <w:pPr>
        <w:pStyle w:val="48"/>
        <w:ind w:firstLine="422"/>
        <w:jc w:val="left"/>
      </w:pPr>
      <w:r>
        <w:rPr>
          <w:rFonts w:ascii="宋体" w:hAnsi="宋体" w:eastAsia="宋体" w:cs="宋体"/>
          <w:b/>
          <w:sz w:val="24"/>
        </w:rPr>
        <w:t>（五）完成项目所需提交的成果文件文档清单</w:t>
      </w:r>
    </w:p>
    <w:p>
      <w:pPr>
        <w:pStyle w:val="48"/>
        <w:ind w:firstLine="420"/>
        <w:jc w:val="both"/>
      </w:pPr>
      <w:r>
        <w:rPr>
          <w:rFonts w:ascii="宋体" w:hAnsi="宋体" w:eastAsia="宋体" w:cs="宋体"/>
          <w:sz w:val="24"/>
        </w:rPr>
        <w:t>在本项目完成后，成交人提供以下文档资料：</w:t>
      </w:r>
    </w:p>
    <w:p>
      <w:pPr>
        <w:pStyle w:val="48"/>
        <w:ind w:firstLine="420"/>
        <w:jc w:val="both"/>
      </w:pPr>
      <w:r>
        <w:rPr>
          <w:rFonts w:ascii="宋体" w:hAnsi="宋体" w:eastAsia="宋体" w:cs="宋体"/>
          <w:sz w:val="24"/>
        </w:rPr>
        <w:t>（1）《差距调研报告》；</w:t>
      </w:r>
    </w:p>
    <w:p>
      <w:pPr>
        <w:pStyle w:val="48"/>
        <w:ind w:firstLine="420"/>
        <w:jc w:val="both"/>
      </w:pPr>
      <w:r>
        <w:rPr>
          <w:rFonts w:ascii="宋体" w:hAnsi="宋体" w:eastAsia="宋体" w:cs="宋体"/>
          <w:sz w:val="24"/>
        </w:rPr>
        <w:t>（2）《网络安全等级保护整改建议》；</w:t>
      </w:r>
    </w:p>
    <w:p>
      <w:pPr>
        <w:pStyle w:val="48"/>
        <w:ind w:firstLine="420"/>
        <w:jc w:val="both"/>
      </w:pPr>
      <w:r>
        <w:rPr>
          <w:rFonts w:ascii="宋体" w:hAnsi="宋体" w:eastAsia="宋体" w:cs="宋体"/>
          <w:sz w:val="24"/>
        </w:rPr>
        <w:t>（3）《网络安全渗透测试报告》；</w:t>
      </w:r>
    </w:p>
    <w:p>
      <w:pPr>
        <w:pStyle w:val="48"/>
        <w:ind w:firstLine="420"/>
        <w:jc w:val="both"/>
      </w:pPr>
      <w:r>
        <w:rPr>
          <w:rFonts w:ascii="宋体" w:hAnsi="宋体" w:eastAsia="宋体" w:cs="宋体"/>
          <w:sz w:val="24"/>
        </w:rPr>
        <w:t>（4）《网络安全系统漏洞扫描报告》；</w:t>
      </w:r>
    </w:p>
    <w:p>
      <w:pPr>
        <w:pStyle w:val="48"/>
        <w:ind w:firstLine="420"/>
        <w:jc w:val="both"/>
        <w:rPr>
          <w:rFonts w:ascii="宋体" w:hAnsi="宋体" w:eastAsia="宋体" w:cs="宋体"/>
          <w:sz w:val="24"/>
        </w:rPr>
      </w:pPr>
      <w:r>
        <w:rPr>
          <w:rFonts w:ascii="宋体" w:hAnsi="宋体" w:eastAsia="宋体" w:cs="宋体"/>
          <w:sz w:val="24"/>
        </w:rPr>
        <w:t>（5）</w:t>
      </w:r>
      <w:r>
        <w:rPr>
          <w:rFonts w:hint="eastAsia" w:ascii="宋体" w:hAnsi="宋体" w:eastAsia="宋体" w:cs="宋体"/>
          <w:sz w:val="24"/>
          <w:lang w:val="en-US" w:eastAsia="zh-CN"/>
        </w:rPr>
        <w:t>2025版</w:t>
      </w:r>
      <w:r>
        <w:rPr>
          <w:rFonts w:ascii="宋体" w:hAnsi="宋体" w:eastAsia="宋体" w:cs="宋体"/>
          <w:sz w:val="24"/>
        </w:rPr>
        <w:t>《网络安全等级保护测评报告》及过程文档；</w:t>
      </w:r>
    </w:p>
    <w:p>
      <w:pPr>
        <w:pStyle w:val="48"/>
        <w:ind w:firstLine="420"/>
        <w:jc w:val="both"/>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6</w:t>
      </w:r>
      <w:r>
        <w:rPr>
          <w:rFonts w:hint="eastAsia" w:ascii="宋体" w:hAnsi="宋体" w:eastAsia="宋体" w:cs="宋体"/>
          <w:sz w:val="24"/>
          <w:lang w:eastAsia="zh-CN"/>
        </w:rPr>
        <w:t>）《</w:t>
      </w:r>
      <w:r>
        <w:rPr>
          <w:rFonts w:hint="eastAsia" w:ascii="宋体" w:hAnsi="宋体" w:eastAsia="宋体" w:cs="宋体"/>
          <w:sz w:val="24"/>
          <w:lang w:val="en-US" w:eastAsia="zh-CN"/>
        </w:rPr>
        <w:t>数据摸底调查表</w:t>
      </w:r>
      <w:r>
        <w:rPr>
          <w:rFonts w:hint="eastAsia" w:ascii="宋体" w:hAnsi="宋体" w:eastAsia="宋体" w:cs="宋体"/>
          <w:sz w:val="24"/>
          <w:lang w:eastAsia="zh-CN"/>
        </w:rPr>
        <w:t>》</w:t>
      </w:r>
    </w:p>
    <w:p>
      <w:pPr>
        <w:pStyle w:val="48"/>
        <w:ind w:firstLine="420"/>
        <w:jc w:val="both"/>
      </w:pPr>
      <w:r>
        <w:rPr>
          <w:rFonts w:ascii="宋体" w:hAnsi="宋体" w:eastAsia="宋体" w:cs="宋体"/>
          <w:sz w:val="24"/>
        </w:rPr>
        <w:t>（</w:t>
      </w:r>
      <w:r>
        <w:rPr>
          <w:rFonts w:hint="eastAsia" w:ascii="宋体" w:hAnsi="宋体" w:eastAsia="宋体" w:cs="宋体"/>
          <w:sz w:val="24"/>
          <w:lang w:val="en-US" w:eastAsia="zh-CN"/>
        </w:rPr>
        <w:t>7</w:t>
      </w:r>
      <w:r>
        <w:rPr>
          <w:rFonts w:ascii="宋体" w:hAnsi="宋体" w:eastAsia="宋体" w:cs="宋体"/>
          <w:sz w:val="24"/>
        </w:rPr>
        <w:t>）《培训计划》、网络安全培训课件、视频等资料；</w:t>
      </w:r>
    </w:p>
    <w:p>
      <w:pPr>
        <w:pStyle w:val="48"/>
        <w:ind w:firstLine="420"/>
        <w:jc w:val="both"/>
      </w:pPr>
      <w:r>
        <w:rPr>
          <w:rFonts w:ascii="宋体" w:hAnsi="宋体" w:eastAsia="宋体" w:cs="宋体"/>
          <w:sz w:val="24"/>
        </w:rPr>
        <w:t>（</w:t>
      </w:r>
      <w:r>
        <w:rPr>
          <w:rFonts w:hint="eastAsia" w:ascii="宋体" w:hAnsi="宋体" w:eastAsia="宋体" w:cs="宋体"/>
          <w:sz w:val="24"/>
          <w:lang w:val="en-US" w:eastAsia="zh-CN"/>
        </w:rPr>
        <w:t>8</w:t>
      </w:r>
      <w:r>
        <w:rPr>
          <w:rFonts w:ascii="宋体" w:hAnsi="宋体" w:eastAsia="宋体" w:cs="宋体"/>
          <w:sz w:val="24"/>
        </w:rPr>
        <w:t>）网络安全制度汇编；</w:t>
      </w:r>
    </w:p>
    <w:p>
      <w:pPr>
        <w:pStyle w:val="48"/>
        <w:ind w:firstLine="420"/>
        <w:jc w:val="both"/>
      </w:pPr>
      <w:r>
        <w:rPr>
          <w:rFonts w:ascii="宋体" w:hAnsi="宋体" w:eastAsia="宋体" w:cs="宋体"/>
          <w:sz w:val="24"/>
        </w:rPr>
        <w:t>（</w:t>
      </w:r>
      <w:r>
        <w:rPr>
          <w:rFonts w:hint="eastAsia" w:ascii="宋体" w:hAnsi="宋体" w:eastAsia="宋体" w:cs="宋体"/>
          <w:sz w:val="24"/>
          <w:lang w:val="en-US" w:eastAsia="zh-CN"/>
        </w:rPr>
        <w:t>9</w:t>
      </w:r>
      <w:r>
        <w:rPr>
          <w:rFonts w:ascii="宋体" w:hAnsi="宋体" w:eastAsia="宋体" w:cs="宋体"/>
          <w:sz w:val="24"/>
        </w:rPr>
        <w:t>）《网络安全应急预案》。</w:t>
      </w:r>
    </w:p>
    <w:p>
      <w:pPr>
        <w:pStyle w:val="48"/>
        <w:ind w:firstLine="422"/>
        <w:jc w:val="left"/>
      </w:pPr>
      <w:r>
        <w:rPr>
          <w:rFonts w:ascii="宋体" w:hAnsi="宋体" w:eastAsia="宋体" w:cs="宋体"/>
          <w:b/>
          <w:sz w:val="24"/>
        </w:rPr>
        <w:t>（六）</w:t>
      </w:r>
      <w:r>
        <w:rPr>
          <w:rFonts w:ascii="宋体" w:hAnsi="宋体" w:eastAsia="宋体" w:cs="宋体"/>
          <w:b/>
          <w:sz w:val="24"/>
          <w:shd w:val="clear" w:fill="FFFFFF"/>
        </w:rPr>
        <w:t>技术标准和规范</w:t>
      </w:r>
    </w:p>
    <w:p>
      <w:pPr>
        <w:pStyle w:val="48"/>
        <w:ind w:firstLine="420"/>
        <w:jc w:val="both"/>
        <w:rPr>
          <w:rFonts w:ascii="宋体" w:hAnsi="宋体" w:eastAsia="宋体" w:cs="宋体"/>
          <w:sz w:val="24"/>
        </w:rPr>
      </w:pPr>
      <w:r>
        <w:rPr>
          <w:rFonts w:ascii="宋体" w:hAnsi="宋体" w:eastAsia="宋体" w:cs="宋体"/>
          <w:sz w:val="24"/>
        </w:rPr>
        <w:t>1、《信息安全等级保护管理办法》</w:t>
      </w:r>
    </w:p>
    <w:p>
      <w:pPr>
        <w:pStyle w:val="48"/>
        <w:ind w:firstLine="420"/>
        <w:jc w:val="both"/>
        <w:rPr>
          <w:rFonts w:ascii="宋体" w:hAnsi="宋体" w:eastAsia="宋体" w:cs="宋体"/>
          <w:sz w:val="24"/>
        </w:rPr>
      </w:pPr>
      <w:r>
        <w:rPr>
          <w:rFonts w:ascii="宋体" w:hAnsi="宋体" w:eastAsia="宋体" w:cs="宋体"/>
          <w:sz w:val="24"/>
        </w:rPr>
        <w:t>2、《计算机信息系统安全保护等级划分准则》（GB17859-1999）</w:t>
      </w:r>
    </w:p>
    <w:p>
      <w:pPr>
        <w:pStyle w:val="48"/>
        <w:ind w:firstLine="420"/>
        <w:jc w:val="both"/>
        <w:rPr>
          <w:rFonts w:ascii="宋体" w:hAnsi="宋体" w:eastAsia="宋体" w:cs="宋体"/>
          <w:sz w:val="24"/>
        </w:rPr>
      </w:pPr>
      <w:r>
        <w:rPr>
          <w:rFonts w:ascii="宋体" w:hAnsi="宋体" w:eastAsia="宋体" w:cs="宋体"/>
          <w:sz w:val="24"/>
        </w:rPr>
        <w:t>3、《信息安全技术 网络安全等级保护定级指南》（GB/T22240-2020）</w:t>
      </w:r>
    </w:p>
    <w:p>
      <w:pPr>
        <w:pStyle w:val="48"/>
        <w:ind w:firstLine="420"/>
        <w:jc w:val="both"/>
        <w:rPr>
          <w:rFonts w:ascii="宋体" w:hAnsi="宋体" w:eastAsia="宋体" w:cs="宋体"/>
          <w:sz w:val="24"/>
        </w:rPr>
      </w:pPr>
      <w:r>
        <w:rPr>
          <w:rFonts w:ascii="宋体" w:hAnsi="宋体" w:eastAsia="宋体" w:cs="宋体"/>
          <w:sz w:val="24"/>
        </w:rPr>
        <w:t>4、《信息安全技术 网络安全等级保护基本要求》（GB/T22239-2019）</w:t>
      </w:r>
    </w:p>
    <w:p>
      <w:pPr>
        <w:pStyle w:val="48"/>
        <w:ind w:firstLine="420"/>
        <w:jc w:val="both"/>
        <w:rPr>
          <w:rFonts w:ascii="宋体" w:hAnsi="宋体" w:eastAsia="宋体" w:cs="宋体"/>
          <w:sz w:val="24"/>
        </w:rPr>
      </w:pPr>
      <w:r>
        <w:rPr>
          <w:rFonts w:ascii="宋体" w:hAnsi="宋体" w:eastAsia="宋体" w:cs="宋体"/>
          <w:sz w:val="24"/>
        </w:rPr>
        <w:t>5、《信息安全技术 网络安全等级保护测评要求》（GB/T28448-2019）</w:t>
      </w:r>
    </w:p>
    <w:p>
      <w:pPr>
        <w:pStyle w:val="48"/>
        <w:ind w:firstLine="420"/>
        <w:jc w:val="both"/>
        <w:rPr>
          <w:rFonts w:ascii="宋体" w:hAnsi="宋体" w:eastAsia="宋体" w:cs="宋体"/>
          <w:sz w:val="24"/>
        </w:rPr>
      </w:pPr>
      <w:r>
        <w:rPr>
          <w:rFonts w:ascii="宋体" w:hAnsi="宋体" w:eastAsia="宋体" w:cs="宋体"/>
          <w:sz w:val="24"/>
        </w:rPr>
        <w:t>6、《信息安全技术 网络安全等级保护测评过程指南》（GB/T28449-2018）</w:t>
      </w:r>
    </w:p>
    <w:p>
      <w:pPr>
        <w:pStyle w:val="48"/>
        <w:ind w:firstLine="420"/>
        <w:jc w:val="both"/>
        <w:rPr>
          <w:rFonts w:hint="default" w:ascii="宋体" w:hAnsi="宋体" w:eastAsia="宋体" w:cs="宋体"/>
          <w:sz w:val="24"/>
          <w:lang w:val="en-US" w:eastAsia="zh-CN"/>
        </w:rPr>
      </w:pPr>
      <w:r>
        <w:rPr>
          <w:rFonts w:hint="eastAsia" w:ascii="宋体" w:hAnsi="宋体" w:eastAsia="宋体" w:cs="宋体"/>
          <w:sz w:val="24"/>
          <w:lang w:val="en-US" w:eastAsia="zh-CN"/>
        </w:rPr>
        <w:t>7、中华人民共和国公安部《关于对网络安全等级保护有关工作事项进一步说明的函》公网安〔2025〕1846号</w:t>
      </w:r>
    </w:p>
    <w:p>
      <w:pPr>
        <w:pStyle w:val="48"/>
        <w:ind w:firstLine="420"/>
        <w:jc w:val="both"/>
        <w:rPr>
          <w:rFonts w:ascii="宋体" w:hAnsi="宋体" w:eastAsia="宋体" w:cs="宋体"/>
          <w:sz w:val="24"/>
        </w:rPr>
      </w:pPr>
      <w:r>
        <w:rPr>
          <w:rFonts w:ascii="宋体" w:hAnsi="宋体" w:eastAsia="宋体" w:cs="宋体"/>
          <w:sz w:val="24"/>
        </w:rPr>
        <w:t>注：若有最新标准按照最新标准执行。</w:t>
      </w:r>
    </w:p>
    <w:p>
      <w:pPr>
        <w:pStyle w:val="48"/>
        <w:ind w:firstLine="422"/>
        <w:jc w:val="left"/>
      </w:pPr>
      <w:r>
        <w:rPr>
          <w:rFonts w:ascii="宋体" w:hAnsi="宋体" w:eastAsia="宋体" w:cs="宋体"/>
          <w:b/>
          <w:sz w:val="24"/>
        </w:rPr>
        <w:t>（七）</w:t>
      </w:r>
      <w:r>
        <w:rPr>
          <w:rFonts w:ascii="宋体" w:hAnsi="宋体" w:eastAsia="宋体" w:cs="宋体"/>
          <w:b/>
          <w:sz w:val="24"/>
          <w:shd w:val="clear" w:fill="FFFFFF"/>
        </w:rPr>
        <w:t>安全要求</w:t>
      </w:r>
    </w:p>
    <w:p>
      <w:pPr>
        <w:pStyle w:val="48"/>
        <w:ind w:firstLine="420"/>
        <w:jc w:val="left"/>
      </w:pPr>
      <w:r>
        <w:rPr>
          <w:rFonts w:ascii="宋体" w:hAnsi="宋体" w:eastAsia="宋体" w:cs="宋体"/>
          <w:sz w:val="24"/>
          <w:shd w:val="clear" w:fill="FFFFFF"/>
        </w:rPr>
        <w:t>成交人在项目实施过程中，必须遵守以下技术原则：</w:t>
      </w:r>
    </w:p>
    <w:p>
      <w:pPr>
        <w:pStyle w:val="48"/>
        <w:ind w:firstLine="420"/>
        <w:jc w:val="left"/>
      </w:pPr>
      <w:r>
        <w:rPr>
          <w:rFonts w:ascii="宋体" w:hAnsi="宋体" w:eastAsia="宋体" w:cs="宋体"/>
          <w:sz w:val="24"/>
          <w:shd w:val="clear" w:fill="FFFFFF"/>
        </w:rPr>
        <w:t>1、保密原则：对测评的过程数据和结果数据严格保密，未经授权不得泄露给任何单位和个人，不得利用此数据进行任何侵害采购人的行为，否则采购人有权追究供应商的责任。</w:t>
      </w:r>
    </w:p>
    <w:p>
      <w:pPr>
        <w:pStyle w:val="48"/>
        <w:ind w:firstLine="420"/>
        <w:jc w:val="left"/>
      </w:pPr>
      <w:r>
        <w:rPr>
          <w:rFonts w:ascii="宋体" w:hAnsi="宋体" w:eastAsia="宋体" w:cs="宋体"/>
          <w:sz w:val="24"/>
          <w:shd w:val="clear" w:fill="FFFFFF"/>
        </w:rPr>
        <w:t>2、标准性原则：测评方案的设计与实施应依据国家等级保护的相关标准进行。</w:t>
      </w:r>
    </w:p>
    <w:p>
      <w:pPr>
        <w:pStyle w:val="48"/>
        <w:ind w:firstLine="420"/>
        <w:jc w:val="left"/>
      </w:pPr>
      <w:r>
        <w:rPr>
          <w:rFonts w:ascii="宋体" w:hAnsi="宋体" w:eastAsia="宋体" w:cs="宋体"/>
          <w:sz w:val="24"/>
          <w:shd w:val="clear" w:fill="FFFFFF"/>
        </w:rPr>
        <w:t>3、规范性原则：供应商的工作中的过程和文档，具有很好的规范性，可以便于项目的跟踪和控制，测评出具的报告须符合公安部颁布的《信息系统安全等级测评报告模板》。</w:t>
      </w:r>
    </w:p>
    <w:p>
      <w:pPr>
        <w:pStyle w:val="48"/>
        <w:ind w:firstLine="420"/>
        <w:jc w:val="left"/>
      </w:pPr>
      <w:r>
        <w:rPr>
          <w:rFonts w:ascii="宋体" w:hAnsi="宋体" w:eastAsia="宋体" w:cs="宋体"/>
          <w:sz w:val="24"/>
          <w:shd w:val="clear" w:fill="FFFFFF"/>
        </w:rPr>
        <w:t>4、可控性原则：等保测评服务的进度要按照招标文件的要求，保证采购人对于测评工作的可控性。</w:t>
      </w:r>
    </w:p>
    <w:p>
      <w:pPr>
        <w:pStyle w:val="48"/>
        <w:ind w:firstLine="420"/>
        <w:jc w:val="left"/>
      </w:pPr>
      <w:r>
        <w:rPr>
          <w:rFonts w:ascii="宋体" w:hAnsi="宋体" w:eastAsia="宋体" w:cs="宋体"/>
          <w:sz w:val="24"/>
          <w:shd w:val="clear" w:fill="FFFFFF"/>
        </w:rPr>
        <w:t>5、整体性原则：等保测评服务的范围和内容应当整体全面，包括国家等级保护相关要求测评要求涉及的各个层面。</w:t>
      </w:r>
    </w:p>
    <w:p>
      <w:pPr>
        <w:pStyle w:val="48"/>
        <w:ind w:firstLine="420"/>
        <w:jc w:val="left"/>
        <w:rPr>
          <w:rFonts w:ascii="宋体" w:hAnsi="宋体" w:eastAsia="宋体" w:cs="宋体"/>
          <w:sz w:val="24"/>
          <w:shd w:val="clear" w:fill="FFFFFF"/>
        </w:rPr>
      </w:pPr>
      <w:r>
        <w:rPr>
          <w:rFonts w:ascii="宋体" w:hAnsi="宋体" w:eastAsia="宋体" w:cs="宋体"/>
          <w:sz w:val="24"/>
          <w:shd w:val="clear" w:fill="FFFFFF"/>
        </w:rPr>
        <w:t>6、安全性原则：等保测评服务工作应不得影响系统和网络的正常运行；测评工作不得对现有信息系统的正常运行、业务的正常开展产生任何影响。</w:t>
      </w:r>
    </w:p>
    <w:p>
      <w:pPr>
        <w:pStyle w:val="48"/>
        <w:ind w:firstLine="420"/>
        <w:jc w:val="left"/>
        <w:rPr>
          <w:rFonts w:ascii="宋体" w:hAnsi="宋体" w:eastAsia="宋体" w:cs="宋体"/>
          <w:sz w:val="24"/>
          <w:shd w:val="clear" w:fill="FFFFFF"/>
        </w:rPr>
      </w:pPr>
      <w:r>
        <w:rPr>
          <w:rFonts w:ascii="宋体" w:hAnsi="宋体" w:eastAsia="宋体" w:cs="宋体"/>
          <w:sz w:val="24"/>
          <w:shd w:val="clear" w:fill="FFFFFF"/>
        </w:rPr>
        <w:t>7、测评机构</w:t>
      </w:r>
      <w:r>
        <w:rPr>
          <w:rFonts w:hint="eastAsia" w:ascii="宋体" w:hAnsi="宋体" w:eastAsia="宋体" w:cs="宋体"/>
          <w:sz w:val="24"/>
          <w:shd w:val="clear" w:fill="FFFFFF"/>
          <w:lang w:val="en-US" w:eastAsia="zh-CN"/>
        </w:rPr>
        <w:t>及测评</w:t>
      </w:r>
      <w:r>
        <w:rPr>
          <w:rFonts w:ascii="宋体" w:hAnsi="宋体" w:eastAsia="宋体" w:cs="宋体"/>
          <w:sz w:val="24"/>
          <w:shd w:val="clear" w:fill="FFFFFF"/>
        </w:rPr>
        <w:t>人员要求：</w:t>
      </w:r>
    </w:p>
    <w:p>
      <w:pPr>
        <w:pStyle w:val="48"/>
        <w:ind w:firstLine="420"/>
        <w:jc w:val="left"/>
        <w:rPr>
          <w:rFonts w:hint="default" w:ascii="宋体" w:hAnsi="宋体" w:eastAsia="宋体" w:cs="宋体"/>
          <w:sz w:val="24"/>
          <w:shd w:val="clear" w:fill="FFFFFF"/>
          <w:lang w:val="en-US" w:eastAsia="zh-CN"/>
        </w:rPr>
      </w:pPr>
      <w:r>
        <w:rPr>
          <w:rFonts w:hint="eastAsia" w:ascii="宋体" w:hAnsi="宋体" w:eastAsia="宋体" w:cs="宋体"/>
          <w:sz w:val="24"/>
          <w:shd w:val="clear" w:fill="FFFFFF"/>
          <w:lang w:val="en-US" w:eastAsia="zh-CN"/>
        </w:rPr>
        <w:t>7.1 供应商具有《网络安全服务认证证书等级保护测评服务认证》证书。</w:t>
      </w:r>
    </w:p>
    <w:p>
      <w:pPr>
        <w:pStyle w:val="48"/>
        <w:ind w:firstLine="420"/>
        <w:jc w:val="left"/>
        <w:rPr>
          <w:rFonts w:hint="eastAsia" w:ascii="宋体" w:hAnsi="宋体" w:eastAsia="宋体" w:cs="宋体"/>
          <w:sz w:val="24"/>
          <w:shd w:val="clear" w:fill="FFFFFF"/>
          <w:lang w:val="en-US" w:eastAsia="zh-CN"/>
        </w:rPr>
      </w:pPr>
      <w:r>
        <w:rPr>
          <w:rFonts w:hint="eastAsia" w:ascii="宋体" w:hAnsi="宋体" w:eastAsia="宋体" w:cs="宋体"/>
          <w:sz w:val="24"/>
          <w:shd w:val="clear" w:fill="FFFFFF"/>
          <w:lang w:val="en-US" w:eastAsia="zh-CN"/>
        </w:rPr>
        <w:t>7.2 供应商具体数据安全服务能力评定资格证书。</w:t>
      </w:r>
    </w:p>
    <w:p>
      <w:pPr>
        <w:pStyle w:val="48"/>
        <w:ind w:firstLine="420"/>
        <w:jc w:val="left"/>
        <w:rPr>
          <w:rFonts w:ascii="宋体" w:hAnsi="宋体" w:eastAsia="宋体" w:cs="宋体"/>
          <w:sz w:val="24"/>
          <w:shd w:val="clear" w:fill="FFFFFF"/>
        </w:rPr>
      </w:pPr>
      <w:r>
        <w:rPr>
          <w:rFonts w:ascii="宋体" w:hAnsi="宋体" w:eastAsia="宋体" w:cs="宋体"/>
          <w:sz w:val="24"/>
          <w:shd w:val="clear" w:fill="FFFFFF"/>
        </w:rPr>
        <w:t>7.</w:t>
      </w:r>
      <w:r>
        <w:rPr>
          <w:rFonts w:hint="eastAsia" w:ascii="宋体" w:hAnsi="宋体" w:eastAsia="宋体" w:cs="宋体"/>
          <w:sz w:val="24"/>
          <w:shd w:val="clear" w:fill="FFFFFF"/>
          <w:lang w:val="en-US" w:eastAsia="zh-CN"/>
        </w:rPr>
        <w:t xml:space="preserve">3 </w:t>
      </w:r>
      <w:r>
        <w:rPr>
          <w:rFonts w:ascii="宋体" w:hAnsi="宋体" w:eastAsia="宋体" w:cs="宋体"/>
          <w:sz w:val="24"/>
          <w:shd w:val="clear" w:fill="FFFFFF"/>
        </w:rPr>
        <w:t>从事信息系统检测评估相关工作人员无违法记录。</w:t>
      </w:r>
    </w:p>
    <w:p>
      <w:pPr>
        <w:pStyle w:val="48"/>
        <w:ind w:firstLine="420"/>
        <w:jc w:val="left"/>
        <w:rPr>
          <w:rFonts w:ascii="宋体" w:hAnsi="宋体" w:eastAsia="宋体" w:cs="宋体"/>
          <w:sz w:val="24"/>
          <w:shd w:val="clear" w:fill="FFFFFF"/>
        </w:rPr>
      </w:pPr>
      <w:r>
        <w:rPr>
          <w:rFonts w:ascii="宋体" w:hAnsi="宋体" w:eastAsia="宋体" w:cs="宋体"/>
          <w:sz w:val="24"/>
          <w:shd w:val="clear" w:fill="FFFFFF"/>
        </w:rPr>
        <w:t>7.</w:t>
      </w:r>
      <w:r>
        <w:rPr>
          <w:rFonts w:hint="eastAsia" w:ascii="宋体" w:hAnsi="宋体" w:eastAsia="宋体" w:cs="宋体"/>
          <w:sz w:val="24"/>
          <w:shd w:val="clear" w:fill="FFFFFF"/>
          <w:lang w:val="en-US" w:eastAsia="zh-CN"/>
        </w:rPr>
        <w:t xml:space="preserve">4 </w:t>
      </w:r>
      <w:r>
        <w:rPr>
          <w:rFonts w:ascii="宋体" w:hAnsi="宋体" w:eastAsia="宋体" w:cs="宋体"/>
          <w:sz w:val="24"/>
          <w:shd w:val="clear" w:fill="FFFFFF"/>
        </w:rPr>
        <w:t>工作人员仅限于中华人民共和国境内的中国公民，且无犯罪记录。</w:t>
      </w:r>
    </w:p>
    <w:p>
      <w:pPr>
        <w:pStyle w:val="48"/>
        <w:ind w:firstLine="420"/>
        <w:jc w:val="left"/>
        <w:rPr>
          <w:rFonts w:ascii="宋体" w:hAnsi="宋体" w:eastAsia="宋体" w:cs="宋体"/>
          <w:sz w:val="24"/>
          <w:shd w:val="clear" w:fill="FFFFFF"/>
        </w:rPr>
      </w:pPr>
      <w:r>
        <w:rPr>
          <w:rFonts w:ascii="宋体" w:hAnsi="宋体" w:eastAsia="宋体" w:cs="宋体"/>
          <w:sz w:val="24"/>
          <w:shd w:val="clear" w:fill="FFFFFF"/>
        </w:rPr>
        <w:t>7.</w:t>
      </w:r>
      <w:r>
        <w:rPr>
          <w:rFonts w:hint="eastAsia" w:ascii="宋体" w:hAnsi="宋体" w:eastAsia="宋体" w:cs="宋体"/>
          <w:sz w:val="24"/>
          <w:shd w:val="clear" w:fill="FFFFFF"/>
          <w:lang w:val="en-US" w:eastAsia="zh-CN"/>
        </w:rPr>
        <w:t xml:space="preserve">5 </w:t>
      </w:r>
      <w:r>
        <w:rPr>
          <w:rFonts w:ascii="宋体" w:hAnsi="宋体" w:eastAsia="宋体" w:cs="宋体"/>
          <w:sz w:val="24"/>
          <w:shd w:val="clear" w:fill="FFFFFF"/>
        </w:rPr>
        <w:t>测评期间需遵守被测单位相关管理规定，禁止利用测评工作从事危害被测单位利益、安全的活动。</w:t>
      </w:r>
    </w:p>
    <w:p>
      <w:pPr>
        <w:pStyle w:val="48"/>
        <w:ind w:firstLine="420"/>
        <w:jc w:val="left"/>
        <w:rPr>
          <w:rFonts w:hint="eastAsia" w:ascii="宋体" w:hAnsi="宋体" w:eastAsia="宋体" w:cs="宋体"/>
          <w:sz w:val="24"/>
          <w:shd w:val="clear" w:fill="FFFFFF"/>
          <w:lang w:val="en-US" w:eastAsia="zh-CN"/>
        </w:rPr>
      </w:pPr>
      <w:r>
        <w:rPr>
          <w:rFonts w:hint="eastAsia" w:ascii="宋体" w:hAnsi="宋体" w:eastAsia="宋体" w:cs="宋体"/>
          <w:sz w:val="24"/>
          <w:shd w:val="clear" w:fill="FFFFFF"/>
          <w:lang w:val="en-US" w:eastAsia="zh-CN"/>
        </w:rPr>
        <w:t>7.6 项目负责人（1名）同时具有信息（或网络）安全等级测评师证书、信息系统审计师证书（ISA）、注册信息安全专业人员证书CISP。</w:t>
      </w:r>
    </w:p>
    <w:p>
      <w:pPr>
        <w:pStyle w:val="48"/>
        <w:ind w:firstLine="420"/>
        <w:jc w:val="left"/>
        <w:rPr>
          <w:rFonts w:hint="eastAsia" w:ascii="宋体" w:hAnsi="宋体" w:eastAsia="宋体" w:cs="宋体"/>
          <w:sz w:val="24"/>
          <w:shd w:val="clear" w:fill="FFFFFF"/>
          <w:lang w:val="en-US" w:eastAsia="zh-CN"/>
        </w:rPr>
      </w:pPr>
      <w:r>
        <w:rPr>
          <w:rFonts w:hint="eastAsia" w:ascii="宋体" w:hAnsi="宋体" w:eastAsia="宋体" w:cs="宋体"/>
          <w:sz w:val="24"/>
          <w:shd w:val="clear" w:fill="FFFFFF"/>
          <w:lang w:val="en-US" w:eastAsia="zh-CN"/>
        </w:rPr>
        <w:t>7.7 测评工程师（2名）同时具有信息（或网络）安全等级测评师证书。</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3" w:firstLineChars="200"/>
        <w:textAlignment w:val="auto"/>
        <w:rPr>
          <w:rFonts w:hint="eastAsia" w:ascii="仿宋_GB2312" w:eastAsia="仿宋_GB2312" w:hAnsiTheme="minorHAnsi" w:cstheme="minorBidi"/>
          <w:b/>
          <w:bCs/>
          <w:kern w:val="2"/>
          <w:sz w:val="32"/>
          <w:szCs w:val="32"/>
          <w:highlight w:val="none"/>
          <w:lang w:val="en-US" w:eastAsia="zh-CN" w:bidi="ar-SA"/>
        </w:rPr>
      </w:pPr>
      <w:r>
        <w:rPr>
          <w:rFonts w:hint="eastAsia" w:ascii="仿宋_GB2312" w:eastAsia="仿宋_GB2312" w:hAnsiTheme="minorHAnsi" w:cstheme="minorBidi"/>
          <w:b/>
          <w:bCs/>
          <w:kern w:val="2"/>
          <w:sz w:val="32"/>
          <w:szCs w:val="32"/>
          <w:highlight w:val="none"/>
          <w:lang w:val="en-US" w:eastAsia="zh-CN" w:bidi="ar-SA"/>
        </w:rPr>
        <w:t>二、商务要求</w:t>
      </w:r>
    </w:p>
    <w:p>
      <w:pPr>
        <w:ind w:firstLine="480" w:firstLineChars="200"/>
        <w:rPr>
          <w:rFonts w:hint="eastAsia" w:ascii="宋体" w:hAnsi="宋体" w:eastAsia="宋体" w:cs="宋体"/>
          <w:kern w:val="0"/>
          <w:sz w:val="24"/>
          <w:szCs w:val="20"/>
          <w:shd w:val="clear" w:fill="FFFFFF"/>
          <w:lang w:val="en-US" w:eastAsia="zh-CN"/>
        </w:rPr>
      </w:pPr>
      <w:r>
        <w:rPr>
          <w:rFonts w:hint="eastAsia" w:ascii="宋体" w:hAnsi="宋体" w:eastAsia="宋体" w:cs="宋体"/>
          <w:kern w:val="0"/>
          <w:sz w:val="24"/>
          <w:szCs w:val="20"/>
          <w:shd w:val="clear" w:fill="FFFFFF"/>
          <w:lang w:val="en-US" w:eastAsia="zh-CN"/>
        </w:rPr>
        <w:t>（一）服务期限：签订合同后60个日历天内提交所有正式成果文件并通过采购人验收。</w:t>
      </w:r>
    </w:p>
    <w:p>
      <w:pPr>
        <w:ind w:firstLine="480" w:firstLineChars="200"/>
        <w:rPr>
          <w:rFonts w:hint="eastAsia" w:ascii="宋体" w:hAnsi="宋体" w:eastAsia="宋体" w:cs="宋体"/>
          <w:kern w:val="0"/>
          <w:sz w:val="24"/>
          <w:szCs w:val="20"/>
          <w:shd w:val="clear" w:fill="FFFFFF"/>
          <w:lang w:val="en-US" w:eastAsia="zh-CN"/>
        </w:rPr>
      </w:pPr>
      <w:r>
        <w:rPr>
          <w:rFonts w:hint="eastAsia" w:ascii="宋体" w:hAnsi="宋体" w:eastAsia="宋体" w:cs="宋体"/>
          <w:kern w:val="0"/>
          <w:sz w:val="24"/>
          <w:szCs w:val="20"/>
          <w:shd w:val="clear" w:fill="FFFFFF"/>
          <w:lang w:val="en-US" w:eastAsia="zh-CN"/>
        </w:rPr>
        <w:t>（二）付款方式：合同签订生效后，按照合同总额100%转至三方监管账户，中标人提交所有正式成果文件并通过采购人验收合格后，达到付款条件起30日内，由三方监管账户转至中标人。</w:t>
      </w:r>
    </w:p>
    <w:p>
      <w:pPr>
        <w:ind w:firstLine="480" w:firstLineChars="200"/>
        <w:rPr>
          <w:rFonts w:hint="eastAsia" w:ascii="宋体" w:hAnsi="宋体" w:eastAsia="宋体" w:cs="宋体"/>
          <w:kern w:val="0"/>
          <w:sz w:val="24"/>
          <w:szCs w:val="20"/>
          <w:shd w:val="clear" w:fill="FFFFFF"/>
          <w:lang w:val="en-US" w:eastAsia="zh-CN"/>
        </w:rPr>
      </w:pPr>
      <w:r>
        <w:rPr>
          <w:rFonts w:hint="eastAsia" w:ascii="宋体" w:hAnsi="宋体" w:eastAsia="宋体" w:cs="宋体"/>
          <w:kern w:val="0"/>
          <w:sz w:val="24"/>
          <w:szCs w:val="20"/>
          <w:shd w:val="clear" w:fill="FFFFFF"/>
          <w:lang w:val="en-US" w:eastAsia="zh-CN"/>
        </w:rPr>
        <w:t>（三）验收、交付标准和方法：成交人与采购人应严格按照《中华人民共和国政府采购法》《中华人民共和国政府采购法实施条例》（中华人民共和国国务院令第658号）以及《财政部关于进一步加强政府采购需求和履约验收管理的指导意见》（财库〔2016〕205号）等相关法律法规、规章及磋商文件、成交人响应文件、合同要求进行验收。</w:t>
      </w:r>
    </w:p>
    <w:p>
      <w:pPr>
        <w:ind w:firstLine="643" w:firstLineChars="200"/>
        <w:jc w:val="left"/>
        <w:rPr>
          <w:rFonts w:hint="default" w:ascii="仿宋_GB2312" w:eastAsia="仿宋_GB2312" w:hAnsiTheme="minorHAnsi" w:cstheme="minorBidi"/>
          <w:b/>
          <w:bCs/>
          <w:kern w:val="2"/>
          <w:sz w:val="32"/>
          <w:szCs w:val="32"/>
          <w:highlight w:val="none"/>
          <w:lang w:val="en-US" w:eastAsia="zh-CN" w:bidi="ar-SA"/>
        </w:rPr>
      </w:pPr>
      <w:r>
        <w:rPr>
          <w:rFonts w:hint="eastAsia" w:ascii="仿宋_GB2312" w:eastAsia="仿宋_GB2312" w:hAnsiTheme="minorHAnsi" w:cstheme="minorBidi"/>
          <w:b/>
          <w:bCs/>
          <w:kern w:val="2"/>
          <w:sz w:val="32"/>
          <w:szCs w:val="32"/>
          <w:highlight w:val="none"/>
          <w:lang w:val="en-US" w:eastAsia="zh-CN" w:bidi="ar-SA"/>
        </w:rPr>
        <w:t>三、</w:t>
      </w:r>
      <w:r>
        <w:rPr>
          <w:rFonts w:hint="eastAsia" w:ascii="仿宋_GB2312" w:eastAsia="仿宋_GB2312" w:cstheme="minorBidi"/>
          <w:b/>
          <w:bCs/>
          <w:kern w:val="2"/>
          <w:sz w:val="32"/>
          <w:szCs w:val="32"/>
          <w:highlight w:val="none"/>
          <w:lang w:val="en-US" w:eastAsia="zh-CN" w:bidi="ar-SA"/>
        </w:rPr>
        <w:t>其他要求</w:t>
      </w:r>
    </w:p>
    <w:p>
      <w:pPr>
        <w:ind w:firstLine="480" w:firstLineChars="200"/>
        <w:rPr>
          <w:rFonts w:hint="eastAsia" w:ascii="宋体" w:hAnsi="宋体" w:eastAsia="宋体" w:cs="宋体"/>
          <w:kern w:val="0"/>
          <w:sz w:val="24"/>
          <w:szCs w:val="20"/>
          <w:shd w:val="clear" w:fill="FFFFFF"/>
          <w:lang w:val="en-US" w:eastAsia="zh-CN"/>
        </w:rPr>
      </w:pPr>
      <w:r>
        <w:rPr>
          <w:rFonts w:hint="eastAsia" w:ascii="宋体" w:hAnsi="宋体" w:eastAsia="宋体" w:cs="宋体"/>
          <w:kern w:val="0"/>
          <w:sz w:val="24"/>
          <w:szCs w:val="20"/>
          <w:shd w:val="clear" w:fill="FFFFFF"/>
          <w:lang w:val="en-US" w:eastAsia="zh-CN"/>
        </w:rPr>
        <w:t>（一）成交价为包干价，供应商报价须包含本项目实施所需全部费用，包括所有服务费、安全责任费、人工费、交通费、代理服务费、税金等，是实现本项目所有服务内容和采购需求的固定不变价格。不因任何原因进行调整，供应商报价时应充分考虑相关因素，因此而造成的损失由供应商自行承担。</w:t>
      </w:r>
    </w:p>
    <w:p>
      <w:pPr>
        <w:ind w:firstLine="480" w:firstLineChars="200"/>
        <w:rPr>
          <w:rFonts w:hint="eastAsia" w:ascii="宋体" w:hAnsi="宋体" w:eastAsia="宋体" w:cs="宋体"/>
          <w:kern w:val="0"/>
          <w:sz w:val="24"/>
          <w:szCs w:val="20"/>
          <w:shd w:val="clear" w:fill="FFFFFF"/>
          <w:lang w:val="en-US" w:eastAsia="zh-CN"/>
        </w:rPr>
      </w:pPr>
      <w:r>
        <w:rPr>
          <w:rFonts w:hint="eastAsia" w:ascii="宋体" w:hAnsi="宋体" w:eastAsia="宋体" w:cs="宋体"/>
          <w:kern w:val="0"/>
          <w:sz w:val="24"/>
          <w:szCs w:val="20"/>
          <w:shd w:val="clear" w:fill="FFFFFF"/>
          <w:lang w:val="en-US" w:eastAsia="zh-CN"/>
        </w:rPr>
        <w:t>（二）供应商应协助采购人进行相关资料提交，以提高备案效率，所有差旅费用已包含在总价中，采购人不再另行支付费用。</w:t>
      </w:r>
    </w:p>
    <w:p>
      <w:pPr>
        <w:ind w:firstLine="480" w:firstLineChars="200"/>
        <w:rPr>
          <w:rFonts w:hint="eastAsia" w:ascii="宋体" w:hAnsi="宋体" w:eastAsia="宋体" w:cs="宋体"/>
          <w:kern w:val="0"/>
          <w:sz w:val="24"/>
          <w:szCs w:val="20"/>
          <w:shd w:val="clear" w:fill="FFFFFF"/>
          <w:lang w:val="en-US" w:eastAsia="zh-CN"/>
        </w:rPr>
      </w:pPr>
      <w:r>
        <w:rPr>
          <w:rFonts w:hint="eastAsia" w:ascii="宋体" w:hAnsi="宋体" w:eastAsia="宋体" w:cs="宋体"/>
          <w:kern w:val="0"/>
          <w:sz w:val="24"/>
          <w:szCs w:val="20"/>
          <w:shd w:val="clear" w:fill="FFFFFF"/>
          <w:lang w:val="en-US" w:eastAsia="zh-CN"/>
        </w:rPr>
        <w:t>（三）成交人应服从采购人的统一指挥、调配、指导及管理，遵守采购人的各项管理及规章制度，做到文明、安全实施。采购人有权对成交人派出的素质不足的工作及业务人员提出更换，成交人应积极配合，并及时更换。</w:t>
      </w:r>
    </w:p>
    <w:p>
      <w:pPr>
        <w:ind w:firstLine="480" w:firstLineChars="200"/>
        <w:rPr>
          <w:rFonts w:hint="eastAsia" w:ascii="宋体" w:hAnsi="宋体" w:eastAsia="宋体" w:cs="宋体"/>
          <w:kern w:val="0"/>
          <w:sz w:val="24"/>
          <w:szCs w:val="20"/>
          <w:shd w:val="clear" w:fill="FFFFFF"/>
          <w:lang w:val="en-US" w:eastAsia="zh-CN"/>
        </w:rPr>
      </w:pPr>
      <w:r>
        <w:rPr>
          <w:rFonts w:hint="eastAsia" w:ascii="宋体" w:hAnsi="宋体" w:eastAsia="宋体" w:cs="宋体"/>
          <w:kern w:val="0"/>
          <w:sz w:val="24"/>
          <w:szCs w:val="20"/>
          <w:shd w:val="clear" w:fill="FFFFFF"/>
          <w:lang w:val="en-US" w:eastAsia="zh-CN"/>
        </w:rPr>
        <w:t>（四）安全责任及要求：服务期内，供应商须加强拟派本项目的服务人员的安全、素质教育和管理，在工作中遵纪守法，不得损害他人利益和社会公共利益，如造成损害的，由成交人承担全部责任。供应商拟派本项目的服务人员发生人身安全及其他任何事故，一切责任和经济赔偿均由成交人负责，与采购人无关。</w:t>
      </w:r>
    </w:p>
    <w:p>
      <w:pPr>
        <w:ind w:firstLine="480" w:firstLineChars="200"/>
        <w:rPr>
          <w:rFonts w:hint="eastAsia" w:ascii="宋体" w:hAnsi="宋体" w:eastAsia="宋体" w:cs="宋体"/>
          <w:kern w:val="0"/>
          <w:sz w:val="24"/>
          <w:szCs w:val="20"/>
          <w:shd w:val="clear" w:fill="FFFFFF"/>
          <w:lang w:val="en-US" w:eastAsia="zh-CN"/>
        </w:rPr>
      </w:pPr>
      <w:r>
        <w:rPr>
          <w:rFonts w:hint="eastAsia" w:ascii="宋体" w:hAnsi="宋体" w:eastAsia="宋体" w:cs="宋体"/>
          <w:kern w:val="0"/>
          <w:sz w:val="24"/>
          <w:szCs w:val="20"/>
          <w:shd w:val="clear" w:fill="FFFFFF"/>
          <w:lang w:val="en-US" w:eastAsia="zh-CN"/>
        </w:rPr>
        <w:t>（五）成交人在政府采购合同履约期间，因自身原因造成政府采购合同终止的，因此产生的所有经济损失由成交人自行承担，如给采购人造成经济损失的，采购人将依法追究其法律责任。</w:t>
      </w:r>
    </w:p>
    <w:p>
      <w:pPr>
        <w:ind w:firstLine="480" w:firstLineChars="200"/>
        <w:rPr>
          <w:rFonts w:hint="eastAsia" w:ascii="宋体" w:hAnsi="宋体" w:eastAsia="宋体" w:cs="宋体"/>
          <w:kern w:val="0"/>
          <w:sz w:val="24"/>
          <w:szCs w:val="20"/>
          <w:shd w:val="clear" w:fill="FFFFFF"/>
          <w:lang w:val="en-US" w:eastAsia="zh-CN"/>
        </w:rPr>
      </w:pPr>
      <w:r>
        <w:rPr>
          <w:rFonts w:hint="eastAsia" w:ascii="宋体" w:hAnsi="宋体" w:eastAsia="宋体" w:cs="宋体"/>
          <w:kern w:val="0"/>
          <w:sz w:val="24"/>
          <w:szCs w:val="20"/>
          <w:shd w:val="clear" w:fill="FFFFFF"/>
          <w:lang w:val="en-US" w:eastAsia="zh-CN"/>
        </w:rPr>
        <w:t>（六）采购人和成交人必须遵守本项目各项规定，保证本项目的正常履行。如因成交人工作人员在履行职务过程中的疏忽、失职、过错等故意或者过失原因给采购人造成损失或侵害，包括但不限于采购人本身的财产损失、由此而导致的采购人对任何第三方的法律责任等，成交人对此均应承担全部的赔偿责任。</w:t>
      </w:r>
    </w:p>
    <w:p>
      <w:pPr>
        <w:ind w:firstLine="480" w:firstLineChars="200"/>
        <w:rPr>
          <w:rFonts w:hint="eastAsia" w:ascii="宋体" w:hAnsi="宋体" w:eastAsia="宋体" w:cs="宋体"/>
          <w:kern w:val="0"/>
          <w:sz w:val="24"/>
          <w:szCs w:val="20"/>
          <w:shd w:val="clear" w:fill="FFFFFF"/>
          <w:lang w:val="en-US" w:eastAsia="zh-CN"/>
        </w:rPr>
      </w:pPr>
      <w:r>
        <w:rPr>
          <w:rFonts w:hint="eastAsia" w:ascii="宋体" w:hAnsi="宋体" w:eastAsia="宋体" w:cs="宋体"/>
          <w:kern w:val="0"/>
          <w:sz w:val="24"/>
          <w:szCs w:val="20"/>
          <w:shd w:val="clear" w:fill="FFFFFF"/>
          <w:lang w:val="en-US" w:eastAsia="zh-CN"/>
        </w:rPr>
        <w:t>（七）本项目涉及的技术标准和规范，有最新标准或规范的，以最新标准或规范为准。</w:t>
      </w:r>
    </w:p>
    <w:p>
      <w:pPr>
        <w:ind w:firstLine="643" w:firstLineChars="200"/>
        <w:jc w:val="left"/>
        <w:rPr>
          <w:rFonts w:hint="eastAsia" w:ascii="仿宋_GB2312" w:eastAsia="仿宋_GB2312" w:cstheme="minorBidi"/>
          <w:b/>
          <w:bCs/>
          <w:kern w:val="2"/>
          <w:sz w:val="32"/>
          <w:szCs w:val="32"/>
          <w:highlight w:val="none"/>
          <w:lang w:val="en-US" w:eastAsia="zh-CN" w:bidi="ar-SA"/>
        </w:rPr>
      </w:pPr>
      <w:r>
        <w:rPr>
          <w:rFonts w:hint="eastAsia" w:ascii="仿宋_GB2312" w:eastAsia="仿宋_GB2312" w:cstheme="minorBidi"/>
          <w:b/>
          <w:bCs/>
          <w:kern w:val="2"/>
          <w:sz w:val="32"/>
          <w:szCs w:val="32"/>
          <w:highlight w:val="none"/>
          <w:lang w:val="en-US" w:eastAsia="zh-CN" w:bidi="ar-SA"/>
        </w:rPr>
        <w:t>四、纠纷的解决办法：</w:t>
      </w:r>
      <w:r>
        <w:rPr>
          <w:rFonts w:hint="eastAsia" w:ascii="仿宋_GB2312" w:eastAsia="仿宋_GB2312" w:cstheme="minorBidi"/>
          <w:b w:val="0"/>
          <w:bCs w:val="0"/>
          <w:kern w:val="2"/>
          <w:sz w:val="32"/>
          <w:szCs w:val="32"/>
          <w:highlight w:val="none"/>
          <w:lang w:val="en-US" w:eastAsia="zh-CN" w:bidi="ar-SA"/>
        </w:rPr>
        <w:t>在签订合同地点的当地人民法院诉讼解决。</w:t>
      </w:r>
    </w:p>
    <w:p>
      <w:pPr>
        <w:ind w:firstLine="643" w:firstLineChars="200"/>
        <w:jc w:val="left"/>
        <w:rPr>
          <w:rFonts w:hint="eastAsia" w:ascii="仿宋_GB2312" w:eastAsia="仿宋_GB2312" w:cstheme="minorBidi"/>
          <w:b/>
          <w:bCs/>
          <w:kern w:val="2"/>
          <w:sz w:val="32"/>
          <w:szCs w:val="32"/>
          <w:highlight w:val="none"/>
          <w:lang w:val="en-US" w:eastAsia="zh-CN" w:bidi="ar-SA"/>
        </w:rPr>
      </w:pPr>
      <w:r>
        <w:rPr>
          <w:rFonts w:hint="eastAsia" w:ascii="仿宋_GB2312" w:eastAsia="仿宋_GB2312" w:cstheme="minorBidi"/>
          <w:b/>
          <w:bCs/>
          <w:kern w:val="2"/>
          <w:sz w:val="32"/>
          <w:szCs w:val="32"/>
          <w:highlight w:val="none"/>
          <w:lang w:val="en-US" w:eastAsia="zh-CN" w:bidi="ar-SA"/>
        </w:rPr>
        <w:t>五、其他未尽事宜由采购人与成交供应商在采购合同中进行约定。</w:t>
      </w:r>
    </w:p>
    <w:p>
      <w:pPr>
        <w:pStyle w:val="7"/>
        <w:keepNext w:val="0"/>
        <w:keepLines w:val="0"/>
        <w:pageBreakBefore w:val="0"/>
        <w:widowControl w:val="0"/>
        <w:kinsoku/>
        <w:wordWrap/>
        <w:overflowPunct/>
        <w:topLinePunct w:val="0"/>
        <w:autoSpaceDE/>
        <w:autoSpaceDN/>
        <w:bidi w:val="0"/>
        <w:adjustRightInd/>
        <w:snapToGrid/>
        <w:ind w:firstLine="482" w:firstLineChars="200"/>
        <w:textAlignment w:val="auto"/>
        <w:rPr>
          <w:rFonts w:ascii="宋体" w:hAnsi="宋体"/>
          <w:bCs/>
          <w:color w:val="000000"/>
          <w:sz w:val="24"/>
          <w:highlight w:val="none"/>
        </w:rPr>
      </w:pPr>
      <w:r>
        <w:rPr>
          <w:rFonts w:hint="eastAsia" w:ascii="宋体" w:hAnsi="宋体"/>
          <w:b/>
          <w:bCs/>
          <w:color w:val="000000"/>
          <w:sz w:val="24"/>
          <w:highlight w:val="none"/>
        </w:rPr>
        <w:t>注意：</w:t>
      </w:r>
      <w:r>
        <w:rPr>
          <w:rFonts w:hint="eastAsia" w:ascii="宋体" w:hAnsi="宋体"/>
          <w:b/>
          <w:bCs/>
          <w:color w:val="000000"/>
          <w:sz w:val="24"/>
          <w:highlight w:val="none"/>
          <w:lang w:val="en-US" w:eastAsia="zh-CN"/>
        </w:rPr>
        <w:t>本章的要求为实质性要求，不允许有负偏离，否则将认定为无效响应。</w:t>
      </w:r>
    </w:p>
    <w:p>
      <w:pPr>
        <w:pStyle w:val="24"/>
        <w:rPr>
          <w:rFonts w:hint="default"/>
          <w:highlight w:val="none"/>
          <w:lang w:val="en-US" w:eastAsia="zh-CN"/>
        </w:rPr>
      </w:pPr>
    </w:p>
    <w:bookmarkEnd w:id="5"/>
    <w:p>
      <w:pPr>
        <w:bidi w:val="0"/>
        <w:rPr>
          <w:rFonts w:hint="eastAsia"/>
          <w:highlight w:val="none"/>
        </w:rPr>
      </w:pPr>
      <w:bookmarkStart w:id="6" w:name="_Toc16230"/>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jc w:val="center"/>
        <w:rPr>
          <w:b/>
          <w:bCs/>
          <w:sz w:val="36"/>
          <w:szCs w:val="36"/>
          <w:highlight w:val="none"/>
        </w:rPr>
      </w:pPr>
      <w:r>
        <w:rPr>
          <w:rFonts w:hint="eastAsia"/>
          <w:b/>
          <w:bCs/>
          <w:sz w:val="36"/>
          <w:szCs w:val="36"/>
          <w:highlight w:val="none"/>
        </w:rPr>
        <w:t>第四章  响应文件内容及制作要求</w:t>
      </w:r>
      <w:bookmarkEnd w:id="6"/>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ascii="仿宋" w:hAnsi="仿宋" w:eastAsia="仿宋"/>
          <w:b/>
          <w:sz w:val="32"/>
          <w:highlight w:val="none"/>
        </w:rPr>
      </w:pPr>
      <w:r>
        <w:rPr>
          <w:rFonts w:hint="eastAsia" w:ascii="仿宋" w:hAnsi="仿宋" w:eastAsia="仿宋"/>
          <w:b/>
          <w:sz w:val="32"/>
          <w:highlight w:val="none"/>
        </w:rPr>
        <w:t>1、响应文件的编制及要求：</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仿宋" w:hAnsi="仿宋" w:eastAsia="仿宋"/>
          <w:sz w:val="32"/>
          <w:highlight w:val="none"/>
        </w:rPr>
      </w:pPr>
      <w:r>
        <w:rPr>
          <w:rFonts w:hint="eastAsia" w:ascii="仿宋" w:hAnsi="仿宋" w:eastAsia="仿宋"/>
          <w:sz w:val="32"/>
          <w:highlight w:val="none"/>
        </w:rPr>
        <w:t>1</w:t>
      </w:r>
      <w:r>
        <w:rPr>
          <w:rFonts w:ascii="仿宋" w:hAnsi="仿宋" w:eastAsia="仿宋"/>
          <w:sz w:val="32"/>
          <w:highlight w:val="none"/>
        </w:rPr>
        <w:t>.1</w:t>
      </w:r>
      <w:r>
        <w:rPr>
          <w:rFonts w:hint="eastAsia" w:ascii="仿宋" w:hAnsi="仿宋" w:eastAsia="仿宋"/>
          <w:sz w:val="32"/>
          <w:highlight w:val="none"/>
        </w:rPr>
        <w:t>供应商所递交的响应文件应包含下述文件：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仿宋" w:hAnsi="仿宋" w:eastAsia="仿宋"/>
          <w:sz w:val="32"/>
          <w:highlight w:val="none"/>
        </w:rPr>
      </w:pPr>
      <w:r>
        <w:rPr>
          <w:rFonts w:hint="eastAsia" w:ascii="仿宋" w:hAnsi="仿宋" w:eastAsia="仿宋"/>
          <w:sz w:val="32"/>
          <w:highlight w:val="none"/>
        </w:rPr>
        <w:t>1.1.1供应商廉洁承诺书（规定格式）</w:t>
      </w:r>
      <w:r>
        <w:rPr>
          <w:rFonts w:hint="eastAsia" w:ascii="仿宋" w:hAnsi="仿宋" w:eastAsia="仿宋"/>
          <w:b/>
          <w:sz w:val="32"/>
          <w:highlight w:val="none"/>
        </w:rPr>
        <w:t>（原件）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仿宋" w:hAnsi="仿宋" w:eastAsia="仿宋"/>
          <w:bCs/>
          <w:sz w:val="32"/>
          <w:highlight w:val="none"/>
        </w:rPr>
      </w:pPr>
      <w:r>
        <w:rPr>
          <w:rFonts w:hint="eastAsia" w:ascii="仿宋" w:hAnsi="仿宋" w:eastAsia="仿宋"/>
          <w:sz w:val="32"/>
          <w:highlight w:val="none"/>
        </w:rPr>
        <w:t>1.1.2</w:t>
      </w:r>
      <w:r>
        <w:rPr>
          <w:rFonts w:hint="eastAsia" w:ascii="仿宋" w:hAnsi="仿宋" w:eastAsia="仿宋"/>
          <w:bCs/>
          <w:sz w:val="32"/>
          <w:highlight w:val="none"/>
        </w:rPr>
        <w:t>法定代表人（负责人、经营者)委托代理人参加的，须提供法定代表人（负责人、经营者)授权书</w:t>
      </w:r>
      <w:r>
        <w:rPr>
          <w:rFonts w:hint="eastAsia" w:ascii="仿宋" w:hAnsi="仿宋" w:eastAsia="仿宋"/>
          <w:b/>
          <w:bCs/>
          <w:sz w:val="32"/>
          <w:highlight w:val="none"/>
        </w:rPr>
        <w:t>（原件）</w:t>
      </w:r>
      <w:r>
        <w:rPr>
          <w:rFonts w:hint="eastAsia" w:ascii="仿宋" w:hAnsi="仿宋" w:eastAsia="仿宋"/>
          <w:bCs/>
          <w:sz w:val="32"/>
          <w:highlight w:val="none"/>
        </w:rPr>
        <w:t>；法定代表人（负责人、经营者)亲自参加的，须提供法定代表人（负责人、经营者)身份证明</w:t>
      </w:r>
      <w:r>
        <w:rPr>
          <w:rFonts w:hint="eastAsia" w:ascii="仿宋" w:hAnsi="仿宋" w:eastAsia="仿宋"/>
          <w:b/>
          <w:bCs/>
          <w:sz w:val="32"/>
          <w:highlight w:val="none"/>
        </w:rPr>
        <w:t>（原件）</w:t>
      </w:r>
      <w:r>
        <w:rPr>
          <w:rFonts w:hint="eastAsia" w:ascii="仿宋" w:hAnsi="仿宋" w:eastAsia="仿宋"/>
          <w:bCs/>
          <w:sz w:val="32"/>
          <w:highlight w:val="none"/>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仿宋" w:hAnsi="仿宋" w:eastAsia="仿宋"/>
          <w:b/>
          <w:bCs/>
          <w:sz w:val="32"/>
          <w:highlight w:val="none"/>
        </w:rPr>
      </w:pPr>
      <w:r>
        <w:rPr>
          <w:rFonts w:hint="eastAsia" w:ascii="仿宋" w:hAnsi="仿宋" w:eastAsia="仿宋"/>
          <w:sz w:val="32"/>
          <w:highlight w:val="none"/>
        </w:rPr>
        <w:t>1.1.3</w:t>
      </w:r>
      <w:r>
        <w:rPr>
          <w:rFonts w:hint="eastAsia" w:ascii="仿宋" w:hAnsi="仿宋" w:eastAsia="仿宋"/>
          <w:bCs/>
          <w:sz w:val="32"/>
          <w:highlight w:val="none"/>
        </w:rPr>
        <w:t>法定代表人（负责人、经营者)和授权代表身份证</w:t>
      </w:r>
      <w:r>
        <w:rPr>
          <w:rFonts w:hint="eastAsia" w:ascii="仿宋" w:hAnsi="仿宋" w:eastAsia="仿宋"/>
          <w:b/>
          <w:bCs/>
          <w:sz w:val="32"/>
          <w:highlight w:val="none"/>
        </w:rPr>
        <w:t>（复印件）；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仿宋_GB2312" w:eastAsia="仿宋_GB2312" w:cs="Times New Roman"/>
          <w:sz w:val="32"/>
          <w:szCs w:val="32"/>
          <w:highlight w:val="none"/>
        </w:rPr>
      </w:pPr>
      <w:r>
        <w:rPr>
          <w:rFonts w:hint="eastAsia" w:ascii="仿宋" w:hAnsi="仿宋" w:eastAsia="仿宋"/>
          <w:sz w:val="32"/>
          <w:highlight w:val="none"/>
        </w:rPr>
        <w:t>1.1.4公司资质复印件加盖公司公章：营业执照、组织机构代码证、税务登记证、等证件</w:t>
      </w:r>
      <w:r>
        <w:rPr>
          <w:rFonts w:hint="eastAsia" w:ascii="仿宋" w:hAnsi="仿宋" w:eastAsia="仿宋"/>
          <w:b/>
          <w:sz w:val="32"/>
          <w:highlight w:val="none"/>
        </w:rPr>
        <w:t>（均提供复印件）</w:t>
      </w:r>
      <w:r>
        <w:rPr>
          <w:rFonts w:hint="eastAsia" w:ascii="仿宋" w:hAnsi="仿宋" w:eastAsia="仿宋"/>
          <w:sz w:val="32"/>
          <w:highlight w:val="none"/>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仿宋" w:hAnsi="仿宋" w:eastAsia="仿宋"/>
          <w:sz w:val="32"/>
          <w:highlight w:val="none"/>
        </w:rPr>
      </w:pPr>
      <w:r>
        <w:rPr>
          <w:rFonts w:hint="eastAsia" w:ascii="仿宋" w:hAnsi="仿宋" w:eastAsia="仿宋"/>
          <w:sz w:val="32"/>
          <w:highlight w:val="none"/>
        </w:rPr>
        <w:t>1.1.5承诺函（规定格式）</w:t>
      </w:r>
      <w:r>
        <w:rPr>
          <w:rFonts w:hint="eastAsia" w:ascii="仿宋" w:hAnsi="仿宋" w:eastAsia="仿宋"/>
          <w:b/>
          <w:sz w:val="32"/>
          <w:highlight w:val="none"/>
        </w:rPr>
        <w:t>（原件）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仿宋" w:hAnsi="仿宋" w:eastAsia="仿宋"/>
          <w:sz w:val="32"/>
          <w:highlight w:val="none"/>
        </w:rPr>
      </w:pPr>
      <w:r>
        <w:rPr>
          <w:rFonts w:hint="eastAsia" w:ascii="仿宋" w:hAnsi="仿宋" w:eastAsia="仿宋"/>
          <w:sz w:val="32"/>
          <w:highlight w:val="none"/>
        </w:rPr>
        <w:t>1.1.6报价表；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仿宋" w:hAnsi="仿宋" w:eastAsia="仿宋"/>
          <w:sz w:val="32"/>
          <w:highlight w:val="none"/>
        </w:rPr>
      </w:pPr>
      <w:r>
        <w:rPr>
          <w:rFonts w:hint="eastAsia" w:ascii="仿宋" w:hAnsi="仿宋" w:eastAsia="仿宋"/>
          <w:sz w:val="32"/>
          <w:highlight w:val="none"/>
        </w:rPr>
        <w:t>1.1.</w:t>
      </w:r>
      <w:r>
        <w:rPr>
          <w:rFonts w:ascii="仿宋" w:hAnsi="仿宋" w:eastAsia="仿宋"/>
          <w:sz w:val="32"/>
          <w:highlight w:val="none"/>
        </w:rPr>
        <w:t>7</w:t>
      </w:r>
      <w:r>
        <w:rPr>
          <w:rFonts w:hint="eastAsia" w:ascii="仿宋" w:hAnsi="仿宋" w:eastAsia="仿宋"/>
          <w:sz w:val="32"/>
          <w:highlight w:val="none"/>
        </w:rPr>
        <w:t>中小企业声明函；</w:t>
      </w:r>
    </w:p>
    <w:p>
      <w:pPr>
        <w:pStyle w:val="7"/>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eastAsia="仿宋"/>
          <w:highlight w:val="none"/>
          <w:lang w:val="en-US" w:eastAsia="zh-CN"/>
        </w:rPr>
      </w:pPr>
      <w:r>
        <w:rPr>
          <w:rFonts w:hint="eastAsia" w:ascii="仿宋" w:hAnsi="仿宋" w:eastAsia="仿宋"/>
          <w:sz w:val="32"/>
          <w:highlight w:val="none"/>
          <w:lang w:val="en-US" w:eastAsia="zh-CN"/>
        </w:rPr>
        <w:t>1.1.8供应商认为需要提供的</w:t>
      </w:r>
      <w:r>
        <w:rPr>
          <w:rFonts w:hint="eastAsia" w:ascii="仿宋_GB2312" w:hAnsi="宋体" w:eastAsia="仿宋_GB2312"/>
          <w:sz w:val="32"/>
          <w:szCs w:val="32"/>
          <w:highlight w:val="none"/>
          <w:lang w:val="en-US" w:eastAsia="zh-CN"/>
        </w:rPr>
        <w:t>其它响应文件。</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ascii="仿宋" w:hAnsi="仿宋" w:eastAsia="仿宋"/>
          <w:b/>
          <w:sz w:val="32"/>
          <w:highlight w:val="none"/>
        </w:rPr>
      </w:pPr>
      <w:r>
        <w:rPr>
          <w:rFonts w:ascii="仿宋" w:hAnsi="仿宋" w:eastAsia="仿宋"/>
          <w:b/>
          <w:sz w:val="32"/>
          <w:highlight w:val="none"/>
        </w:rPr>
        <w:t>2</w:t>
      </w:r>
      <w:r>
        <w:rPr>
          <w:rFonts w:hint="eastAsia" w:ascii="仿宋" w:hAnsi="仿宋" w:eastAsia="仿宋"/>
          <w:b/>
          <w:sz w:val="32"/>
          <w:highlight w:val="none"/>
        </w:rPr>
        <w:t>、响应文件的印制和签署：</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仿宋" w:hAnsi="仿宋" w:eastAsia="仿宋"/>
          <w:sz w:val="32"/>
          <w:highlight w:val="none"/>
        </w:rPr>
      </w:pPr>
      <w:r>
        <w:rPr>
          <w:rFonts w:hint="eastAsia" w:ascii="仿宋" w:hAnsi="仿宋" w:eastAsia="仿宋"/>
          <w:sz w:val="32"/>
          <w:highlight w:val="none"/>
        </w:rPr>
        <w:t>2.1响应文件应全部采用A4纸，用不能擦去的墨料或墨水打印或书写。</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仿宋" w:hAnsi="仿宋" w:eastAsia="仿宋"/>
          <w:sz w:val="32"/>
          <w:highlight w:val="none"/>
        </w:rPr>
      </w:pPr>
      <w:r>
        <w:rPr>
          <w:rFonts w:hint="eastAsia" w:ascii="仿宋" w:hAnsi="仿宋" w:eastAsia="仿宋"/>
          <w:sz w:val="32"/>
          <w:highlight w:val="none"/>
        </w:rPr>
        <w:t>2.2凡有增加或修正之处均应由法定代表人或授权代表签章证明。</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ascii="仿宋" w:hAnsi="仿宋" w:eastAsia="仿宋"/>
          <w:b/>
          <w:sz w:val="32"/>
          <w:highlight w:val="none"/>
        </w:rPr>
      </w:pPr>
      <w:r>
        <w:rPr>
          <w:rFonts w:hint="eastAsia" w:ascii="仿宋" w:hAnsi="仿宋" w:eastAsia="仿宋"/>
          <w:b/>
          <w:sz w:val="32"/>
          <w:highlight w:val="none"/>
        </w:rPr>
        <w:t>3、响应文件的密封、标注和提交：</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仿宋" w:hAnsi="仿宋" w:eastAsia="仿宋"/>
          <w:sz w:val="32"/>
          <w:highlight w:val="none"/>
        </w:rPr>
      </w:pPr>
      <w:r>
        <w:rPr>
          <w:rFonts w:hint="eastAsia" w:ascii="仿宋" w:hAnsi="仿宋" w:eastAsia="仿宋"/>
          <w:sz w:val="32"/>
          <w:highlight w:val="none"/>
        </w:rPr>
        <w:t>3</w:t>
      </w:r>
      <w:r>
        <w:rPr>
          <w:rFonts w:ascii="仿宋" w:hAnsi="仿宋" w:eastAsia="仿宋"/>
          <w:sz w:val="32"/>
          <w:highlight w:val="none"/>
        </w:rPr>
        <w:t>.1</w:t>
      </w:r>
      <w:r>
        <w:rPr>
          <w:rFonts w:hint="eastAsia" w:ascii="仿宋" w:hAnsi="仿宋" w:eastAsia="仿宋"/>
          <w:sz w:val="32"/>
          <w:highlight w:val="none"/>
        </w:rPr>
        <w:t>供应商应将响应文件全部密封到一个包封中，包封应注明供应商名称、项目名称、日期，并在封袋骑缝处以显著标志密封，并加盖供应商公章。</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仿宋" w:hAnsi="仿宋" w:eastAsia="仿宋"/>
          <w:sz w:val="32"/>
          <w:highlight w:val="none"/>
        </w:rPr>
      </w:pPr>
      <w:r>
        <w:rPr>
          <w:rFonts w:hint="eastAsia" w:ascii="仿宋" w:hAnsi="仿宋" w:eastAsia="仿宋"/>
          <w:sz w:val="32"/>
          <w:highlight w:val="none"/>
        </w:rPr>
        <w:t>3.2供应商法定代表人或授权代表于202</w:t>
      </w:r>
      <w:r>
        <w:rPr>
          <w:rFonts w:hint="eastAsia" w:ascii="仿宋" w:hAnsi="仿宋" w:eastAsia="仿宋"/>
          <w:sz w:val="32"/>
          <w:highlight w:val="none"/>
          <w:lang w:val="en-US" w:eastAsia="zh-CN"/>
        </w:rPr>
        <w:t>5</w:t>
      </w:r>
      <w:r>
        <w:rPr>
          <w:rFonts w:hint="eastAsia" w:ascii="仿宋" w:hAnsi="仿宋" w:eastAsia="仿宋"/>
          <w:sz w:val="32"/>
          <w:highlight w:val="none"/>
        </w:rPr>
        <w:t>年</w:t>
      </w:r>
      <w:r>
        <w:rPr>
          <w:rFonts w:hint="eastAsia" w:ascii="仿宋" w:hAnsi="仿宋" w:eastAsia="仿宋"/>
          <w:sz w:val="32"/>
          <w:highlight w:val="none"/>
          <w:lang w:val="en-US" w:eastAsia="zh-CN"/>
        </w:rPr>
        <w:t>10</w:t>
      </w:r>
      <w:r>
        <w:rPr>
          <w:rFonts w:hint="eastAsia" w:ascii="仿宋" w:hAnsi="仿宋" w:eastAsia="仿宋"/>
          <w:sz w:val="32"/>
          <w:highlight w:val="none"/>
        </w:rPr>
        <w:t>月</w:t>
      </w:r>
      <w:r>
        <w:rPr>
          <w:rFonts w:hint="eastAsia" w:ascii="仿宋" w:hAnsi="仿宋" w:eastAsia="仿宋"/>
          <w:sz w:val="32"/>
          <w:highlight w:val="none"/>
          <w:lang w:val="en-US" w:eastAsia="zh-CN"/>
        </w:rPr>
        <w:t>23</w:t>
      </w:r>
      <w:r>
        <w:rPr>
          <w:rFonts w:hint="eastAsia" w:ascii="仿宋" w:hAnsi="仿宋" w:eastAsia="仿宋"/>
          <w:sz w:val="32"/>
          <w:highlight w:val="none"/>
        </w:rPr>
        <w:t>日</w:t>
      </w:r>
      <w:r>
        <w:rPr>
          <w:rFonts w:hint="eastAsia" w:ascii="仿宋" w:hAnsi="仿宋" w:eastAsia="仿宋"/>
          <w:sz w:val="32"/>
          <w:highlight w:val="none"/>
          <w:lang w:val="en-US" w:eastAsia="zh-CN"/>
        </w:rPr>
        <w:t>9</w:t>
      </w:r>
      <w:r>
        <w:rPr>
          <w:rFonts w:hint="eastAsia" w:ascii="仿宋" w:hAnsi="仿宋" w:eastAsia="仿宋"/>
          <w:sz w:val="32"/>
          <w:highlight w:val="none"/>
        </w:rPr>
        <w:t>:00前将响应文件送至德阳市精神卫生中心</w:t>
      </w:r>
      <w:r>
        <w:rPr>
          <w:rFonts w:hint="eastAsia" w:ascii="仿宋" w:hAnsi="仿宋" w:eastAsia="仿宋"/>
          <w:sz w:val="32"/>
          <w:highlight w:val="none"/>
          <w:lang w:val="en-US" w:eastAsia="zh-CN"/>
        </w:rPr>
        <w:t>行政办公</w:t>
      </w:r>
      <w:r>
        <w:rPr>
          <w:rFonts w:hint="eastAsia" w:ascii="仿宋" w:hAnsi="仿宋" w:eastAsia="仿宋"/>
          <w:sz w:val="32"/>
          <w:highlight w:val="none"/>
        </w:rPr>
        <w:t>楼</w:t>
      </w:r>
      <w:r>
        <w:rPr>
          <w:rFonts w:hint="eastAsia" w:ascii="仿宋" w:hAnsi="仿宋" w:eastAsia="仿宋"/>
          <w:sz w:val="32"/>
          <w:highlight w:val="none"/>
          <w:lang w:val="en-US" w:eastAsia="zh-CN"/>
        </w:rPr>
        <w:t>203室招采科</w:t>
      </w:r>
      <w:r>
        <w:rPr>
          <w:rFonts w:hint="eastAsia" w:ascii="仿宋" w:hAnsi="仿宋" w:eastAsia="仿宋"/>
          <w:sz w:val="32"/>
          <w:highlight w:val="none"/>
        </w:rPr>
        <w:t>。</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ascii="仿宋" w:hAnsi="仿宋" w:eastAsia="仿宋"/>
          <w:b/>
          <w:sz w:val="32"/>
          <w:highlight w:val="none"/>
        </w:rPr>
      </w:pPr>
      <w:r>
        <w:rPr>
          <w:rFonts w:hint="eastAsia" w:ascii="仿宋" w:hAnsi="仿宋" w:eastAsia="仿宋"/>
          <w:b/>
          <w:sz w:val="32"/>
          <w:highlight w:val="none"/>
        </w:rPr>
        <w:t>4、无效响应文件情形：</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仿宋" w:hAnsi="仿宋" w:eastAsia="仿宋"/>
          <w:sz w:val="32"/>
          <w:highlight w:val="none"/>
        </w:rPr>
      </w:pPr>
      <w:r>
        <w:rPr>
          <w:rFonts w:hint="eastAsia" w:ascii="仿宋" w:hAnsi="仿宋" w:eastAsia="仿宋"/>
          <w:sz w:val="32"/>
          <w:highlight w:val="none"/>
        </w:rPr>
        <w:t>4.1、未在响应文件递交截止期前递交的响应文件；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仿宋" w:hAnsi="仿宋" w:eastAsia="仿宋"/>
          <w:sz w:val="32"/>
          <w:highlight w:val="none"/>
        </w:rPr>
      </w:pPr>
      <w:r>
        <w:rPr>
          <w:rFonts w:hint="eastAsia" w:ascii="仿宋" w:hAnsi="仿宋" w:eastAsia="仿宋"/>
          <w:sz w:val="32"/>
          <w:highlight w:val="none"/>
        </w:rPr>
        <w:t>4.2、响应文件未按规定密封盖章；</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仿宋" w:hAnsi="仿宋" w:eastAsia="仿宋"/>
          <w:sz w:val="32"/>
          <w:highlight w:val="none"/>
        </w:rPr>
      </w:pPr>
      <w:r>
        <w:rPr>
          <w:rFonts w:hint="eastAsia" w:ascii="仿宋" w:hAnsi="仿宋" w:eastAsia="仿宋"/>
          <w:sz w:val="32"/>
          <w:highlight w:val="none"/>
        </w:rPr>
        <w:t>4.3、响应文件所要求的地方未盖供应商法人章，法定代表人或授权代表应章或签字。</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ascii="仿宋" w:hAnsi="仿宋" w:eastAsia="仿宋"/>
          <w:sz w:val="32"/>
          <w:highlight w:val="none"/>
        </w:rPr>
      </w:pPr>
      <w:r>
        <w:rPr>
          <w:rFonts w:hint="eastAsia" w:ascii="仿宋" w:hAnsi="仿宋" w:eastAsia="仿宋"/>
          <w:sz w:val="32"/>
          <w:highlight w:val="none"/>
        </w:rPr>
        <w:t>4.4、响应文件字迹潦草、模糊、无法辨认；</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ascii="仿宋" w:hAnsi="仿宋" w:eastAsia="仿宋"/>
          <w:sz w:val="32"/>
          <w:highlight w:val="none"/>
        </w:rPr>
      </w:pPr>
      <w:r>
        <w:rPr>
          <w:rFonts w:hint="eastAsia" w:ascii="仿宋" w:hAnsi="仿宋" w:eastAsia="仿宋"/>
          <w:sz w:val="32"/>
          <w:highlight w:val="none"/>
        </w:rPr>
        <w:t>4.5、供应商提供的有效证明材料不齐全或未提供齐全有效的公司资质资料。</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ascii="宋体" w:hAnsi="宋体"/>
          <w:sz w:val="24"/>
          <w:highlight w:val="none"/>
        </w:rPr>
      </w:pPr>
      <w:r>
        <w:rPr>
          <w:rFonts w:hint="eastAsia" w:ascii="仿宋" w:hAnsi="仿宋" w:eastAsia="仿宋"/>
          <w:sz w:val="32"/>
          <w:highlight w:val="none"/>
        </w:rPr>
        <w:t>4.6、未响应第</w:t>
      </w:r>
      <w:r>
        <w:rPr>
          <w:rFonts w:hint="eastAsia" w:ascii="仿宋" w:hAnsi="仿宋" w:eastAsia="仿宋"/>
          <w:sz w:val="32"/>
          <w:highlight w:val="none"/>
          <w:lang w:val="en-US" w:eastAsia="zh-CN"/>
        </w:rPr>
        <w:t>三</w:t>
      </w:r>
      <w:r>
        <w:rPr>
          <w:rFonts w:hint="eastAsia" w:ascii="仿宋" w:hAnsi="仿宋" w:eastAsia="仿宋"/>
          <w:sz w:val="32"/>
          <w:highlight w:val="none"/>
        </w:rPr>
        <w:t>章要求或响应第三章要求，但是有负偏离的。</w:t>
      </w:r>
    </w:p>
    <w:p>
      <w:pPr>
        <w:keepNext w:val="0"/>
        <w:keepLines w:val="0"/>
        <w:pageBreakBefore w:val="0"/>
        <w:widowControl w:val="0"/>
        <w:kinsoku/>
        <w:wordWrap/>
        <w:overflowPunct/>
        <w:topLinePunct w:val="0"/>
        <w:bidi w:val="0"/>
        <w:spacing w:line="594" w:lineRule="exact"/>
        <w:rPr>
          <w:rFonts w:ascii="宋体" w:hAnsi="宋体" w:eastAsia="宋体" w:cs="宋体"/>
          <w:sz w:val="32"/>
          <w:szCs w:val="32"/>
          <w:highlight w:val="none"/>
        </w:rPr>
      </w:pPr>
    </w:p>
    <w:p>
      <w:pPr>
        <w:keepNext w:val="0"/>
        <w:keepLines w:val="0"/>
        <w:pageBreakBefore w:val="0"/>
        <w:widowControl w:val="0"/>
        <w:kinsoku/>
        <w:wordWrap/>
        <w:overflowPunct/>
        <w:topLinePunct w:val="0"/>
        <w:bidi w:val="0"/>
        <w:spacing w:line="594" w:lineRule="exact"/>
        <w:rPr>
          <w:rFonts w:ascii="宋体" w:hAnsi="宋体" w:eastAsia="宋体" w:cs="宋体"/>
          <w:sz w:val="32"/>
          <w:szCs w:val="32"/>
          <w:highlight w:val="none"/>
        </w:rPr>
      </w:pPr>
    </w:p>
    <w:p>
      <w:pPr>
        <w:pStyle w:val="7"/>
        <w:keepNext w:val="0"/>
        <w:keepLines w:val="0"/>
        <w:pageBreakBefore w:val="0"/>
        <w:widowControl w:val="0"/>
        <w:kinsoku/>
        <w:wordWrap/>
        <w:overflowPunct/>
        <w:topLinePunct w:val="0"/>
        <w:bidi w:val="0"/>
        <w:rPr>
          <w:rFonts w:hint="eastAsia"/>
          <w:highlight w:val="none"/>
          <w:lang w:val="zh-CN"/>
        </w:rPr>
      </w:pPr>
    </w:p>
    <w:p>
      <w:pPr>
        <w:pStyle w:val="7"/>
        <w:keepNext w:val="0"/>
        <w:keepLines w:val="0"/>
        <w:pageBreakBefore w:val="0"/>
        <w:widowControl w:val="0"/>
        <w:kinsoku/>
        <w:wordWrap/>
        <w:overflowPunct/>
        <w:topLinePunct w:val="0"/>
        <w:bidi w:val="0"/>
        <w:rPr>
          <w:rFonts w:hint="eastAsia"/>
          <w:highlight w:val="none"/>
          <w:lang w:val="zh-CN"/>
        </w:rPr>
      </w:pPr>
    </w:p>
    <w:p>
      <w:pPr>
        <w:pStyle w:val="7"/>
        <w:keepNext w:val="0"/>
        <w:keepLines w:val="0"/>
        <w:pageBreakBefore w:val="0"/>
        <w:widowControl w:val="0"/>
        <w:kinsoku/>
        <w:wordWrap/>
        <w:overflowPunct/>
        <w:topLinePunct w:val="0"/>
        <w:bidi w:val="0"/>
        <w:rPr>
          <w:rFonts w:hint="eastAsia"/>
          <w:highlight w:val="none"/>
          <w:lang w:val="zh-CN"/>
        </w:rPr>
      </w:pPr>
    </w:p>
    <w:p>
      <w:pPr>
        <w:pStyle w:val="7"/>
        <w:keepNext w:val="0"/>
        <w:keepLines w:val="0"/>
        <w:pageBreakBefore w:val="0"/>
        <w:widowControl w:val="0"/>
        <w:kinsoku/>
        <w:wordWrap/>
        <w:overflowPunct/>
        <w:topLinePunct w:val="0"/>
        <w:bidi w:val="0"/>
        <w:rPr>
          <w:rFonts w:hint="eastAsia"/>
          <w:highlight w:val="none"/>
          <w:lang w:val="zh-CN"/>
        </w:rPr>
      </w:pPr>
    </w:p>
    <w:p>
      <w:pPr>
        <w:keepNext w:val="0"/>
        <w:keepLines w:val="0"/>
        <w:pageBreakBefore w:val="0"/>
        <w:widowControl w:val="0"/>
        <w:kinsoku/>
        <w:wordWrap/>
        <w:overflowPunct/>
        <w:topLinePunct w:val="0"/>
        <w:bidi w:val="0"/>
        <w:spacing w:line="360" w:lineRule="exact"/>
        <w:ind w:firstLine="643" w:firstLineChars="200"/>
        <w:jc w:val="center"/>
        <w:outlineLvl w:val="0"/>
        <w:rPr>
          <w:rFonts w:hint="eastAsia" w:ascii="黑体" w:hAnsi="黑体" w:eastAsia="黑体"/>
          <w:b/>
          <w:sz w:val="32"/>
          <w:szCs w:val="32"/>
          <w:highlight w:val="none"/>
          <w:lang w:val="zh-CN"/>
        </w:rPr>
      </w:pPr>
      <w:bookmarkStart w:id="7" w:name="_Toc32336"/>
    </w:p>
    <w:p>
      <w:pPr>
        <w:keepNext w:val="0"/>
        <w:keepLines w:val="0"/>
        <w:pageBreakBefore w:val="0"/>
        <w:widowControl w:val="0"/>
        <w:kinsoku/>
        <w:wordWrap/>
        <w:overflowPunct/>
        <w:topLinePunct w:val="0"/>
        <w:bidi w:val="0"/>
        <w:spacing w:line="360" w:lineRule="exact"/>
        <w:ind w:firstLine="643" w:firstLineChars="200"/>
        <w:jc w:val="center"/>
        <w:outlineLvl w:val="0"/>
        <w:rPr>
          <w:rFonts w:hint="eastAsia" w:ascii="黑体" w:hAnsi="黑体" w:eastAsia="黑体"/>
          <w:b/>
          <w:sz w:val="32"/>
          <w:szCs w:val="32"/>
          <w:highlight w:val="none"/>
          <w:lang w:val="zh-CN"/>
        </w:rPr>
      </w:pPr>
    </w:p>
    <w:p>
      <w:pPr>
        <w:keepNext w:val="0"/>
        <w:keepLines w:val="0"/>
        <w:pageBreakBefore w:val="0"/>
        <w:widowControl w:val="0"/>
        <w:kinsoku/>
        <w:wordWrap/>
        <w:overflowPunct/>
        <w:topLinePunct w:val="0"/>
        <w:bidi w:val="0"/>
        <w:spacing w:line="360" w:lineRule="exact"/>
        <w:ind w:firstLine="643" w:firstLineChars="200"/>
        <w:jc w:val="center"/>
        <w:outlineLvl w:val="0"/>
        <w:rPr>
          <w:rFonts w:hint="eastAsia" w:ascii="黑体" w:hAnsi="黑体" w:eastAsia="黑体"/>
          <w:b/>
          <w:sz w:val="32"/>
          <w:szCs w:val="32"/>
          <w:highlight w:val="none"/>
          <w:lang w:val="zh-CN"/>
        </w:rPr>
      </w:pPr>
    </w:p>
    <w:p>
      <w:pPr>
        <w:keepNext w:val="0"/>
        <w:keepLines w:val="0"/>
        <w:pageBreakBefore w:val="0"/>
        <w:widowControl w:val="0"/>
        <w:kinsoku/>
        <w:wordWrap/>
        <w:overflowPunct/>
        <w:topLinePunct w:val="0"/>
        <w:bidi w:val="0"/>
        <w:spacing w:line="360" w:lineRule="exact"/>
        <w:jc w:val="both"/>
        <w:outlineLvl w:val="0"/>
        <w:rPr>
          <w:rFonts w:hint="eastAsia" w:ascii="黑体" w:hAnsi="黑体" w:eastAsia="黑体"/>
          <w:b/>
          <w:sz w:val="32"/>
          <w:szCs w:val="32"/>
          <w:highlight w:val="none"/>
          <w:lang w:val="zh-CN"/>
        </w:rPr>
      </w:pPr>
    </w:p>
    <w:p>
      <w:pPr>
        <w:pStyle w:val="2"/>
        <w:bidi w:val="0"/>
        <w:jc w:val="center"/>
        <w:rPr>
          <w:rFonts w:ascii="宋体" w:hAnsi="宋体" w:eastAsia="宋体"/>
          <w:b/>
          <w:sz w:val="32"/>
          <w:szCs w:val="28"/>
          <w:highlight w:val="none"/>
        </w:rPr>
      </w:pPr>
      <w:r>
        <w:rPr>
          <w:rFonts w:hint="eastAsia"/>
          <w:highlight w:val="none"/>
          <w:lang w:val="zh-CN"/>
        </w:rPr>
        <w:t xml:space="preserve">第五章  </w:t>
      </w:r>
      <w:r>
        <w:rPr>
          <w:rFonts w:hint="eastAsia"/>
          <w:highlight w:val="none"/>
        </w:rPr>
        <w:t>开评标及定标</w:t>
      </w:r>
      <w:bookmarkEnd w:id="7"/>
    </w:p>
    <w:p>
      <w:pPr>
        <w:keepNext w:val="0"/>
        <w:keepLines w:val="0"/>
        <w:pageBreakBefore w:val="0"/>
        <w:widowControl w:val="0"/>
        <w:kinsoku/>
        <w:wordWrap/>
        <w:overflowPunct/>
        <w:topLinePunct w:val="0"/>
        <w:bidi w:val="0"/>
        <w:spacing w:line="360" w:lineRule="auto"/>
        <w:ind w:firstLine="643" w:firstLineChars="200"/>
        <w:rPr>
          <w:rFonts w:ascii="宋体" w:hAnsi="宋体" w:eastAsia="宋体"/>
          <w:b/>
          <w:sz w:val="32"/>
          <w:highlight w:val="none"/>
        </w:rPr>
      </w:pPr>
      <w:bookmarkStart w:id="8" w:name="_Hlk73899877"/>
      <w:r>
        <w:rPr>
          <w:rFonts w:hint="eastAsia" w:ascii="宋体" w:hAnsi="宋体" w:eastAsia="宋体"/>
          <w:b/>
          <w:sz w:val="32"/>
          <w:highlight w:val="none"/>
        </w:rPr>
        <w:t>1、谈判及成交：</w:t>
      </w:r>
      <w:r>
        <w:rPr>
          <w:rFonts w:hint="eastAsia" w:ascii="宋体" w:hAnsi="宋体" w:eastAsia="宋体"/>
          <w:sz w:val="32"/>
          <w:highlight w:val="none"/>
        </w:rPr>
        <w:t>评审方法参考《中华人民共和国政府采购法》、《中华人民共和国政府采购法实施条例》、《政府采购非招标采购方式管理办法》等法律制度，根据质量和服务均能满足谈判文件实质性响应要求且最后报价最低的原则确定成交供应商。</w:t>
      </w:r>
    </w:p>
    <w:p>
      <w:pPr>
        <w:keepNext w:val="0"/>
        <w:keepLines w:val="0"/>
        <w:pageBreakBefore w:val="0"/>
        <w:widowControl w:val="0"/>
        <w:kinsoku/>
        <w:wordWrap/>
        <w:overflowPunct/>
        <w:topLinePunct w:val="0"/>
        <w:bidi w:val="0"/>
        <w:spacing w:after="120" w:line="594" w:lineRule="exact"/>
        <w:ind w:firstLine="640" w:firstLineChars="200"/>
        <w:rPr>
          <w:rFonts w:ascii="仿宋_GB2312" w:hAnsi="宋体" w:eastAsia="仿宋_GB2312"/>
          <w:sz w:val="32"/>
          <w:szCs w:val="32"/>
          <w:highlight w:val="none"/>
        </w:rPr>
      </w:pPr>
      <w:r>
        <w:rPr>
          <w:rFonts w:hint="eastAsia" w:ascii="宋体" w:hAnsi="宋体" w:eastAsia="宋体"/>
          <w:sz w:val="32"/>
          <w:highlight w:val="none"/>
        </w:rPr>
        <w:t>1</w:t>
      </w:r>
      <w:r>
        <w:rPr>
          <w:rFonts w:ascii="宋体" w:hAnsi="宋体" w:eastAsia="宋体"/>
          <w:sz w:val="32"/>
          <w:highlight w:val="none"/>
        </w:rPr>
        <w:t>.1</w:t>
      </w:r>
      <w:r>
        <w:rPr>
          <w:rFonts w:hint="eastAsia" w:ascii="宋体" w:hAnsi="宋体" w:eastAsia="宋体"/>
          <w:sz w:val="32"/>
          <w:highlight w:val="none"/>
        </w:rPr>
        <w:t>拟定开标时间</w:t>
      </w:r>
      <w:r>
        <w:rPr>
          <w:rFonts w:hint="eastAsia" w:ascii="宋体" w:hAnsi="宋体" w:eastAsia="宋体"/>
          <w:sz w:val="32"/>
          <w:highlight w:val="none"/>
          <w:lang w:val="en-US" w:eastAsia="zh-CN"/>
        </w:rPr>
        <w:t>10</w:t>
      </w:r>
      <w:r>
        <w:rPr>
          <w:rFonts w:hint="eastAsia" w:ascii="宋体" w:hAnsi="宋体" w:eastAsia="宋体"/>
          <w:sz w:val="32"/>
          <w:highlight w:val="none"/>
        </w:rPr>
        <w:t>月</w:t>
      </w:r>
      <w:r>
        <w:rPr>
          <w:rFonts w:hint="eastAsia" w:ascii="宋体" w:hAnsi="宋体" w:eastAsia="宋体"/>
          <w:sz w:val="32"/>
          <w:highlight w:val="none"/>
          <w:lang w:val="en-US" w:eastAsia="zh-CN"/>
        </w:rPr>
        <w:t>23</w:t>
      </w:r>
      <w:r>
        <w:rPr>
          <w:rFonts w:hint="eastAsia" w:ascii="宋体" w:hAnsi="宋体" w:eastAsia="宋体"/>
          <w:sz w:val="32"/>
          <w:highlight w:val="none"/>
        </w:rPr>
        <w:t>日</w:t>
      </w:r>
      <w:r>
        <w:rPr>
          <w:rFonts w:hint="eastAsia" w:ascii="宋体" w:hAnsi="宋体" w:eastAsia="宋体"/>
          <w:sz w:val="32"/>
          <w:highlight w:val="none"/>
          <w:lang w:val="en-US" w:eastAsia="zh-CN"/>
        </w:rPr>
        <w:t>9</w:t>
      </w:r>
      <w:bookmarkStart w:id="16" w:name="_GoBack"/>
      <w:bookmarkEnd w:id="16"/>
      <w:r>
        <w:rPr>
          <w:rFonts w:hint="eastAsia" w:ascii="宋体" w:hAnsi="宋体" w:eastAsia="宋体"/>
          <w:sz w:val="32"/>
          <w:highlight w:val="none"/>
        </w:rPr>
        <w:t>:</w:t>
      </w:r>
      <w:r>
        <w:rPr>
          <w:rFonts w:hint="eastAsia" w:ascii="宋体" w:hAnsi="宋体" w:eastAsia="宋体"/>
          <w:sz w:val="32"/>
          <w:highlight w:val="none"/>
          <w:lang w:val="en-US" w:eastAsia="zh-CN"/>
        </w:rPr>
        <w:t>0</w:t>
      </w:r>
      <w:r>
        <w:rPr>
          <w:rFonts w:hint="eastAsia" w:ascii="宋体" w:hAnsi="宋体" w:eastAsia="宋体"/>
          <w:sz w:val="32"/>
          <w:highlight w:val="none"/>
        </w:rPr>
        <w:t>0，如因工作原因不能按时开标，具体开标时间根据实际情况另行通知。</w:t>
      </w:r>
    </w:p>
    <w:p>
      <w:pPr>
        <w:keepNext w:val="0"/>
        <w:keepLines w:val="0"/>
        <w:pageBreakBefore w:val="0"/>
        <w:widowControl w:val="0"/>
        <w:kinsoku/>
        <w:wordWrap/>
        <w:overflowPunct/>
        <w:topLinePunct w:val="0"/>
        <w:bidi w:val="0"/>
        <w:spacing w:line="360" w:lineRule="auto"/>
        <w:ind w:firstLine="640" w:firstLineChars="200"/>
        <w:rPr>
          <w:rFonts w:ascii="宋体" w:hAnsi="宋体" w:eastAsia="宋体"/>
          <w:sz w:val="32"/>
          <w:highlight w:val="none"/>
        </w:rPr>
      </w:pPr>
      <w:r>
        <w:rPr>
          <w:rFonts w:hint="eastAsia" w:ascii="宋体" w:hAnsi="宋体" w:eastAsia="宋体"/>
          <w:sz w:val="32"/>
          <w:highlight w:val="none"/>
        </w:rPr>
        <w:t>1</w:t>
      </w:r>
      <w:r>
        <w:rPr>
          <w:rFonts w:ascii="宋体" w:hAnsi="宋体" w:eastAsia="宋体"/>
          <w:sz w:val="32"/>
          <w:highlight w:val="none"/>
        </w:rPr>
        <w:t>.2</w:t>
      </w:r>
      <w:r>
        <w:rPr>
          <w:rFonts w:hint="eastAsia" w:ascii="宋体" w:hAnsi="宋体" w:eastAsia="宋体"/>
          <w:sz w:val="32"/>
          <w:highlight w:val="none"/>
        </w:rPr>
        <w:t>评审及成交：</w:t>
      </w:r>
    </w:p>
    <w:p>
      <w:pPr>
        <w:keepNext w:val="0"/>
        <w:keepLines w:val="0"/>
        <w:pageBreakBefore w:val="0"/>
        <w:widowControl w:val="0"/>
        <w:kinsoku/>
        <w:wordWrap/>
        <w:overflowPunct/>
        <w:topLinePunct w:val="0"/>
        <w:bidi w:val="0"/>
        <w:spacing w:line="360" w:lineRule="auto"/>
        <w:ind w:firstLine="640" w:firstLineChars="200"/>
        <w:rPr>
          <w:rFonts w:hint="eastAsia" w:ascii="宋体" w:hAnsi="宋体" w:eastAsia="宋体"/>
          <w:sz w:val="32"/>
          <w:highlight w:val="none"/>
        </w:rPr>
      </w:pPr>
      <w:r>
        <w:rPr>
          <w:rFonts w:hint="eastAsia" w:ascii="宋体" w:hAnsi="宋体" w:eastAsia="宋体"/>
          <w:sz w:val="32"/>
          <w:highlight w:val="none"/>
        </w:rPr>
        <w:t>1.2.1、评审由我中心组建的评审小组进行评审；</w:t>
      </w:r>
    </w:p>
    <w:p>
      <w:pPr>
        <w:pStyle w:val="3"/>
        <w:keepNext w:val="0"/>
        <w:keepLines w:val="0"/>
        <w:pageBreakBefore w:val="0"/>
        <w:widowControl w:val="0"/>
        <w:kinsoku/>
        <w:wordWrap/>
        <w:overflowPunct/>
        <w:topLinePunct w:val="0"/>
        <w:bidi w:val="0"/>
        <w:spacing w:before="0" w:after="0" w:line="360" w:lineRule="auto"/>
        <w:ind w:firstLine="627" w:firstLineChars="196"/>
        <w:rPr>
          <w:highlight w:val="none"/>
        </w:rPr>
      </w:pPr>
      <w:r>
        <w:rPr>
          <w:rFonts w:hint="eastAsia" w:ascii="宋体" w:hAnsi="宋体" w:eastAsia="宋体" w:cstheme="minorBidi"/>
          <w:b w:val="0"/>
          <w:bCs w:val="0"/>
          <w:kern w:val="2"/>
          <w:sz w:val="32"/>
          <w:szCs w:val="22"/>
          <w:highlight w:val="none"/>
          <w:lang w:val="en-US" w:eastAsia="zh-CN" w:bidi="ar-SA"/>
        </w:rPr>
        <w:t>1.2.2、谈判小组所有成员集中与单一供应商分别进行一轮或多轮谈判，并给予所有参加谈判的供应商平等的谈判机会。谈判以现场或电话的方式进行谈判。谈判过程中，谈判小组可以根据谈判情况调整谈判轮次。</w:t>
      </w:r>
    </w:p>
    <w:p>
      <w:pPr>
        <w:pStyle w:val="6"/>
        <w:keepNext w:val="0"/>
        <w:keepLines w:val="0"/>
        <w:pageBreakBefore w:val="0"/>
        <w:widowControl w:val="0"/>
        <w:kinsoku/>
        <w:wordWrap/>
        <w:overflowPunct/>
        <w:topLinePunct w:val="0"/>
        <w:bidi w:val="0"/>
        <w:ind w:firstLine="640" w:firstLineChars="200"/>
        <w:rPr>
          <w:rFonts w:hint="eastAsia" w:ascii="宋体" w:hAnsi="宋体" w:eastAsia="宋体"/>
          <w:sz w:val="32"/>
          <w:highlight w:val="none"/>
        </w:rPr>
      </w:pPr>
      <w:r>
        <w:rPr>
          <w:rFonts w:hint="eastAsia" w:ascii="宋体" w:hAnsi="宋体" w:eastAsia="宋体"/>
          <w:sz w:val="32"/>
          <w:highlight w:val="none"/>
        </w:rPr>
        <w:t>1.2.</w:t>
      </w:r>
      <w:r>
        <w:rPr>
          <w:rFonts w:hint="eastAsia" w:ascii="宋体" w:hAnsi="宋体" w:eastAsia="宋体"/>
          <w:sz w:val="32"/>
          <w:highlight w:val="none"/>
          <w:lang w:val="en-US" w:eastAsia="zh-CN"/>
        </w:rPr>
        <w:t>3</w:t>
      </w:r>
      <w:r>
        <w:rPr>
          <w:rFonts w:hint="eastAsia" w:ascii="宋体" w:hAnsi="宋体" w:eastAsia="宋体"/>
          <w:sz w:val="32"/>
          <w:highlight w:val="none"/>
        </w:rPr>
        <w:t>、供应商对谈判会议，评审过程中所提问题或疑义的，采购人不做任何答复。</w:t>
      </w:r>
      <w:bookmarkEnd w:id="8"/>
    </w:p>
    <w:p>
      <w:pPr>
        <w:pStyle w:val="6"/>
        <w:keepNext w:val="0"/>
        <w:keepLines w:val="0"/>
        <w:pageBreakBefore w:val="0"/>
        <w:widowControl w:val="0"/>
        <w:kinsoku/>
        <w:wordWrap/>
        <w:overflowPunct/>
        <w:topLinePunct w:val="0"/>
        <w:bidi w:val="0"/>
        <w:ind w:firstLine="640" w:firstLineChars="200"/>
        <w:rPr>
          <w:rFonts w:hint="default" w:ascii="宋体" w:hAnsi="宋体" w:eastAsia="宋体"/>
          <w:sz w:val="32"/>
          <w:highlight w:val="none"/>
          <w:lang w:val="en-US" w:eastAsia="zh-CN"/>
        </w:rPr>
      </w:pPr>
    </w:p>
    <w:p>
      <w:pPr>
        <w:pStyle w:val="2"/>
        <w:keepNext w:val="0"/>
        <w:keepLines w:val="0"/>
        <w:pageBreakBefore w:val="0"/>
        <w:widowControl w:val="0"/>
        <w:kinsoku/>
        <w:wordWrap/>
        <w:overflowPunct/>
        <w:topLinePunct w:val="0"/>
        <w:bidi w:val="0"/>
        <w:spacing w:before="260" w:after="260" w:line="600" w:lineRule="exact"/>
        <w:jc w:val="both"/>
        <w:outlineLvl w:val="0"/>
        <w:rPr>
          <w:rStyle w:val="34"/>
          <w:rFonts w:hint="eastAsia"/>
          <w:b/>
          <w:bCs/>
          <w:sz w:val="36"/>
          <w:szCs w:val="36"/>
          <w:highlight w:val="none"/>
        </w:rPr>
      </w:pPr>
      <w:bookmarkStart w:id="9" w:name="_Toc11523"/>
    </w:p>
    <w:p>
      <w:pPr>
        <w:pStyle w:val="2"/>
        <w:keepNext w:val="0"/>
        <w:keepLines w:val="0"/>
        <w:pageBreakBefore w:val="0"/>
        <w:widowControl w:val="0"/>
        <w:kinsoku/>
        <w:wordWrap/>
        <w:overflowPunct/>
        <w:topLinePunct w:val="0"/>
        <w:bidi w:val="0"/>
        <w:spacing w:before="0" w:after="0" w:line="240" w:lineRule="auto"/>
        <w:jc w:val="both"/>
        <w:outlineLvl w:val="0"/>
        <w:rPr>
          <w:rStyle w:val="34"/>
          <w:rFonts w:hint="eastAsia"/>
          <w:b/>
          <w:bCs/>
          <w:sz w:val="36"/>
          <w:szCs w:val="36"/>
          <w:highlight w:val="none"/>
        </w:rPr>
      </w:pPr>
    </w:p>
    <w:p>
      <w:pPr>
        <w:keepNext w:val="0"/>
        <w:keepLines w:val="0"/>
        <w:pageBreakBefore w:val="0"/>
        <w:widowControl w:val="0"/>
        <w:kinsoku/>
        <w:wordWrap/>
        <w:overflowPunct/>
        <w:topLinePunct w:val="0"/>
        <w:bidi w:val="0"/>
        <w:rPr>
          <w:rStyle w:val="34"/>
          <w:rFonts w:hint="eastAsia"/>
          <w:b/>
          <w:bCs/>
          <w:sz w:val="36"/>
          <w:szCs w:val="36"/>
          <w:highlight w:val="none"/>
        </w:rPr>
      </w:pPr>
    </w:p>
    <w:p>
      <w:pPr>
        <w:pStyle w:val="7"/>
        <w:keepNext w:val="0"/>
        <w:keepLines w:val="0"/>
        <w:pageBreakBefore w:val="0"/>
        <w:widowControl w:val="0"/>
        <w:kinsoku/>
        <w:wordWrap/>
        <w:overflowPunct/>
        <w:topLinePunct w:val="0"/>
        <w:bidi w:val="0"/>
        <w:rPr>
          <w:rFonts w:hint="eastAsia"/>
          <w:highlight w:val="none"/>
        </w:rPr>
      </w:pPr>
    </w:p>
    <w:p>
      <w:pPr>
        <w:pStyle w:val="2"/>
        <w:bidi w:val="0"/>
        <w:jc w:val="center"/>
        <w:rPr>
          <w:highlight w:val="none"/>
        </w:rPr>
      </w:pPr>
      <w:r>
        <w:rPr>
          <w:rFonts w:hint="eastAsia"/>
          <w:highlight w:val="none"/>
        </w:rPr>
        <w:t>第六章  响应文件格式</w:t>
      </w:r>
      <w:bookmarkEnd w:id="9"/>
    </w:p>
    <w:p>
      <w:pPr>
        <w:pStyle w:val="29"/>
        <w:keepNext w:val="0"/>
        <w:keepLines w:val="0"/>
        <w:pageBreakBefore w:val="0"/>
        <w:widowControl w:val="0"/>
        <w:kinsoku/>
        <w:wordWrap/>
        <w:overflowPunct/>
        <w:topLinePunct w:val="0"/>
        <w:bidi w:val="0"/>
        <w:spacing w:line="594" w:lineRule="exact"/>
        <w:ind w:firstLine="320" w:firstLineChars="100"/>
        <w:jc w:val="both"/>
        <w:rPr>
          <w:rFonts w:ascii="仿宋" w:hAnsi="仿宋" w:eastAsia="仿宋"/>
          <w:sz w:val="32"/>
          <w:szCs w:val="32"/>
          <w:highlight w:val="none"/>
          <w:lang w:val="zh-CN"/>
        </w:rPr>
      </w:pPr>
      <w:r>
        <w:rPr>
          <w:rFonts w:hint="eastAsia" w:ascii="仿宋" w:hAnsi="仿宋" w:eastAsia="仿宋"/>
          <w:sz w:val="32"/>
          <w:szCs w:val="32"/>
          <w:highlight w:val="none"/>
          <w:lang w:val="zh-CN"/>
        </w:rPr>
        <w:t>一、本章所制响应文件格式，除格式中明确将该格式作为实质性要求的，一律不具有强制性。</w:t>
      </w:r>
    </w:p>
    <w:p>
      <w:pPr>
        <w:pStyle w:val="29"/>
        <w:keepNext w:val="0"/>
        <w:keepLines w:val="0"/>
        <w:pageBreakBefore w:val="0"/>
        <w:widowControl w:val="0"/>
        <w:kinsoku/>
        <w:wordWrap/>
        <w:overflowPunct/>
        <w:topLinePunct w:val="0"/>
        <w:bidi w:val="0"/>
        <w:spacing w:line="594" w:lineRule="exact"/>
        <w:ind w:firstLine="320" w:firstLineChars="100"/>
        <w:jc w:val="both"/>
        <w:rPr>
          <w:rFonts w:ascii="仿宋" w:hAnsi="仿宋" w:eastAsia="仿宋"/>
          <w:sz w:val="32"/>
          <w:szCs w:val="32"/>
          <w:highlight w:val="none"/>
          <w:lang w:val="zh-CN"/>
        </w:rPr>
      </w:pPr>
      <w:r>
        <w:rPr>
          <w:rFonts w:hint="eastAsia" w:ascii="仿宋" w:hAnsi="仿宋" w:eastAsia="仿宋"/>
          <w:sz w:val="32"/>
          <w:szCs w:val="32"/>
          <w:highlight w:val="none"/>
          <w:lang w:val="zh-CN"/>
        </w:rPr>
        <w:t>二、本章所制响应文件格式有关表格中的备注栏，由供应商根据自身响应情况作解释性说明，不作为必填项。</w:t>
      </w:r>
    </w:p>
    <w:p>
      <w:pPr>
        <w:pStyle w:val="29"/>
        <w:keepNext w:val="0"/>
        <w:keepLines w:val="0"/>
        <w:pageBreakBefore w:val="0"/>
        <w:widowControl w:val="0"/>
        <w:kinsoku/>
        <w:wordWrap/>
        <w:overflowPunct/>
        <w:topLinePunct w:val="0"/>
        <w:bidi w:val="0"/>
        <w:spacing w:line="594" w:lineRule="exact"/>
        <w:ind w:firstLine="320" w:firstLineChars="100"/>
        <w:jc w:val="both"/>
        <w:rPr>
          <w:rFonts w:ascii="宋体" w:hAnsi="宋体" w:eastAsia="宋体" w:cs="宋体"/>
          <w:b/>
          <w:sz w:val="32"/>
          <w:szCs w:val="32"/>
          <w:highlight w:val="none"/>
        </w:rPr>
      </w:pPr>
      <w:r>
        <w:rPr>
          <w:rFonts w:hint="eastAsia" w:ascii="仿宋" w:hAnsi="仿宋" w:eastAsia="仿宋"/>
          <w:sz w:val="32"/>
          <w:szCs w:val="32"/>
          <w:highlight w:val="none"/>
          <w:lang w:val="zh-CN"/>
        </w:rPr>
        <w:t>三、本章所制响应文件格式中需要填写的相关内容事项，可能会与本采购项目无关，在不改变响应文件原义、不影响本项目采购需求的情况下，供应商可以不予填写，但应当注明。</w:t>
      </w:r>
    </w:p>
    <w:p>
      <w:pPr>
        <w:keepNext w:val="0"/>
        <w:keepLines w:val="0"/>
        <w:pageBreakBefore w:val="0"/>
        <w:widowControl w:val="0"/>
        <w:kinsoku/>
        <w:wordWrap/>
        <w:overflowPunct/>
        <w:topLinePunct w:val="0"/>
        <w:bidi w:val="0"/>
        <w:spacing w:line="594" w:lineRule="exact"/>
        <w:jc w:val="center"/>
        <w:rPr>
          <w:rFonts w:hint="eastAsia" w:asciiTheme="majorEastAsia" w:hAnsiTheme="majorEastAsia" w:eastAsiaTheme="majorEastAsia"/>
          <w:b/>
          <w:sz w:val="28"/>
          <w:szCs w:val="28"/>
          <w:highlight w:val="none"/>
        </w:rPr>
      </w:pPr>
    </w:p>
    <w:p>
      <w:pPr>
        <w:keepNext w:val="0"/>
        <w:keepLines w:val="0"/>
        <w:pageBreakBefore w:val="0"/>
        <w:widowControl w:val="0"/>
        <w:kinsoku/>
        <w:wordWrap/>
        <w:overflowPunct/>
        <w:topLinePunct w:val="0"/>
        <w:bidi w:val="0"/>
        <w:spacing w:line="594" w:lineRule="exact"/>
        <w:jc w:val="center"/>
        <w:rPr>
          <w:rFonts w:hint="eastAsia" w:asciiTheme="majorEastAsia" w:hAnsiTheme="majorEastAsia" w:eastAsiaTheme="majorEastAsia"/>
          <w:b/>
          <w:sz w:val="28"/>
          <w:szCs w:val="28"/>
          <w:highlight w:val="none"/>
        </w:rPr>
      </w:pPr>
    </w:p>
    <w:p>
      <w:pPr>
        <w:keepNext w:val="0"/>
        <w:keepLines w:val="0"/>
        <w:pageBreakBefore w:val="0"/>
        <w:widowControl w:val="0"/>
        <w:kinsoku/>
        <w:wordWrap/>
        <w:overflowPunct/>
        <w:topLinePunct w:val="0"/>
        <w:bidi w:val="0"/>
        <w:spacing w:line="594" w:lineRule="exact"/>
        <w:jc w:val="center"/>
        <w:rPr>
          <w:rFonts w:hint="eastAsia" w:asciiTheme="majorEastAsia" w:hAnsiTheme="majorEastAsia" w:eastAsiaTheme="majorEastAsia"/>
          <w:b/>
          <w:sz w:val="28"/>
          <w:szCs w:val="28"/>
          <w:highlight w:val="none"/>
        </w:rPr>
      </w:pPr>
    </w:p>
    <w:p>
      <w:pPr>
        <w:keepNext w:val="0"/>
        <w:keepLines w:val="0"/>
        <w:pageBreakBefore w:val="0"/>
        <w:widowControl w:val="0"/>
        <w:kinsoku/>
        <w:wordWrap/>
        <w:overflowPunct/>
        <w:topLinePunct w:val="0"/>
        <w:bidi w:val="0"/>
        <w:spacing w:line="594" w:lineRule="exact"/>
        <w:jc w:val="center"/>
        <w:rPr>
          <w:rFonts w:hint="eastAsia" w:asciiTheme="majorEastAsia" w:hAnsiTheme="majorEastAsia" w:eastAsiaTheme="majorEastAsia"/>
          <w:b/>
          <w:sz w:val="28"/>
          <w:szCs w:val="28"/>
          <w:highlight w:val="none"/>
        </w:rPr>
      </w:pPr>
    </w:p>
    <w:p>
      <w:pPr>
        <w:keepNext w:val="0"/>
        <w:keepLines w:val="0"/>
        <w:pageBreakBefore w:val="0"/>
        <w:widowControl w:val="0"/>
        <w:kinsoku/>
        <w:wordWrap/>
        <w:overflowPunct/>
        <w:topLinePunct w:val="0"/>
        <w:bidi w:val="0"/>
        <w:spacing w:line="594" w:lineRule="exact"/>
        <w:jc w:val="center"/>
        <w:rPr>
          <w:rFonts w:hint="eastAsia" w:asciiTheme="majorEastAsia" w:hAnsiTheme="majorEastAsia" w:eastAsiaTheme="majorEastAsia"/>
          <w:b/>
          <w:sz w:val="28"/>
          <w:szCs w:val="28"/>
          <w:highlight w:val="none"/>
        </w:rPr>
      </w:pPr>
    </w:p>
    <w:p>
      <w:pPr>
        <w:keepNext w:val="0"/>
        <w:keepLines w:val="0"/>
        <w:pageBreakBefore w:val="0"/>
        <w:widowControl w:val="0"/>
        <w:kinsoku/>
        <w:wordWrap/>
        <w:overflowPunct/>
        <w:topLinePunct w:val="0"/>
        <w:bidi w:val="0"/>
        <w:spacing w:line="594" w:lineRule="exact"/>
        <w:jc w:val="center"/>
        <w:rPr>
          <w:rFonts w:hint="eastAsia" w:asciiTheme="majorEastAsia" w:hAnsiTheme="majorEastAsia" w:eastAsiaTheme="majorEastAsia"/>
          <w:b/>
          <w:sz w:val="28"/>
          <w:szCs w:val="28"/>
          <w:highlight w:val="none"/>
        </w:rPr>
      </w:pPr>
    </w:p>
    <w:p>
      <w:pPr>
        <w:keepNext w:val="0"/>
        <w:keepLines w:val="0"/>
        <w:pageBreakBefore w:val="0"/>
        <w:widowControl w:val="0"/>
        <w:kinsoku/>
        <w:wordWrap/>
        <w:overflowPunct/>
        <w:topLinePunct w:val="0"/>
        <w:bidi w:val="0"/>
        <w:spacing w:line="594" w:lineRule="exact"/>
        <w:jc w:val="center"/>
        <w:rPr>
          <w:rFonts w:hint="eastAsia" w:asciiTheme="majorEastAsia" w:hAnsiTheme="majorEastAsia" w:eastAsiaTheme="majorEastAsia"/>
          <w:b/>
          <w:sz w:val="28"/>
          <w:szCs w:val="28"/>
          <w:highlight w:val="none"/>
        </w:rPr>
      </w:pPr>
    </w:p>
    <w:p>
      <w:pPr>
        <w:keepNext w:val="0"/>
        <w:keepLines w:val="0"/>
        <w:pageBreakBefore w:val="0"/>
        <w:widowControl w:val="0"/>
        <w:kinsoku/>
        <w:wordWrap/>
        <w:overflowPunct/>
        <w:topLinePunct w:val="0"/>
        <w:bidi w:val="0"/>
        <w:spacing w:line="594" w:lineRule="exact"/>
        <w:jc w:val="center"/>
        <w:rPr>
          <w:rFonts w:hint="eastAsia" w:asciiTheme="majorEastAsia" w:hAnsiTheme="majorEastAsia" w:eastAsiaTheme="majorEastAsia"/>
          <w:b/>
          <w:sz w:val="28"/>
          <w:szCs w:val="28"/>
          <w:highlight w:val="none"/>
        </w:rPr>
      </w:pPr>
    </w:p>
    <w:p>
      <w:pPr>
        <w:keepNext w:val="0"/>
        <w:keepLines w:val="0"/>
        <w:pageBreakBefore w:val="0"/>
        <w:widowControl w:val="0"/>
        <w:kinsoku/>
        <w:wordWrap/>
        <w:overflowPunct/>
        <w:topLinePunct w:val="0"/>
        <w:bidi w:val="0"/>
        <w:spacing w:line="594" w:lineRule="exact"/>
        <w:jc w:val="center"/>
        <w:rPr>
          <w:rFonts w:hint="eastAsia" w:asciiTheme="majorEastAsia" w:hAnsiTheme="majorEastAsia" w:eastAsiaTheme="majorEastAsia"/>
          <w:b/>
          <w:sz w:val="28"/>
          <w:szCs w:val="28"/>
          <w:highlight w:val="none"/>
        </w:rPr>
      </w:pPr>
    </w:p>
    <w:p>
      <w:pPr>
        <w:keepNext w:val="0"/>
        <w:keepLines w:val="0"/>
        <w:pageBreakBefore w:val="0"/>
        <w:widowControl w:val="0"/>
        <w:kinsoku/>
        <w:wordWrap/>
        <w:overflowPunct/>
        <w:topLinePunct w:val="0"/>
        <w:bidi w:val="0"/>
        <w:spacing w:line="594" w:lineRule="exact"/>
        <w:jc w:val="center"/>
        <w:rPr>
          <w:rFonts w:hint="eastAsia" w:asciiTheme="majorEastAsia" w:hAnsiTheme="majorEastAsia" w:eastAsiaTheme="majorEastAsia"/>
          <w:b/>
          <w:sz w:val="28"/>
          <w:szCs w:val="28"/>
          <w:highlight w:val="none"/>
        </w:rPr>
      </w:pPr>
    </w:p>
    <w:p>
      <w:pPr>
        <w:pStyle w:val="7"/>
        <w:keepNext w:val="0"/>
        <w:keepLines w:val="0"/>
        <w:pageBreakBefore w:val="0"/>
        <w:widowControl w:val="0"/>
        <w:kinsoku/>
        <w:wordWrap/>
        <w:overflowPunct/>
        <w:topLinePunct w:val="0"/>
        <w:bidi w:val="0"/>
        <w:rPr>
          <w:rFonts w:hint="eastAsia" w:asciiTheme="majorEastAsia" w:hAnsiTheme="majorEastAsia" w:eastAsiaTheme="majorEastAsia"/>
          <w:b/>
          <w:sz w:val="28"/>
          <w:szCs w:val="28"/>
          <w:highlight w:val="none"/>
        </w:rPr>
      </w:pPr>
    </w:p>
    <w:p>
      <w:pPr>
        <w:keepNext w:val="0"/>
        <w:keepLines w:val="0"/>
        <w:pageBreakBefore w:val="0"/>
        <w:widowControl w:val="0"/>
        <w:kinsoku/>
        <w:wordWrap/>
        <w:overflowPunct/>
        <w:topLinePunct w:val="0"/>
        <w:bidi w:val="0"/>
        <w:rPr>
          <w:rFonts w:hint="eastAsia" w:asciiTheme="majorEastAsia" w:hAnsiTheme="majorEastAsia" w:eastAsiaTheme="majorEastAsia"/>
          <w:b/>
          <w:sz w:val="28"/>
          <w:szCs w:val="28"/>
          <w:highlight w:val="none"/>
        </w:rPr>
      </w:pPr>
    </w:p>
    <w:p>
      <w:pPr>
        <w:pStyle w:val="7"/>
        <w:keepNext w:val="0"/>
        <w:keepLines w:val="0"/>
        <w:pageBreakBefore w:val="0"/>
        <w:widowControl w:val="0"/>
        <w:kinsoku/>
        <w:wordWrap/>
        <w:overflowPunct/>
        <w:topLinePunct w:val="0"/>
        <w:bidi w:val="0"/>
        <w:rPr>
          <w:rFonts w:hint="eastAsia" w:asciiTheme="majorEastAsia" w:hAnsiTheme="majorEastAsia" w:eastAsiaTheme="majorEastAsia"/>
          <w:b/>
          <w:sz w:val="28"/>
          <w:szCs w:val="28"/>
          <w:highlight w:val="none"/>
        </w:rPr>
      </w:pPr>
    </w:p>
    <w:p>
      <w:pPr>
        <w:keepNext w:val="0"/>
        <w:keepLines w:val="0"/>
        <w:pageBreakBefore w:val="0"/>
        <w:widowControl w:val="0"/>
        <w:kinsoku/>
        <w:wordWrap/>
        <w:overflowPunct/>
        <w:topLinePunct w:val="0"/>
        <w:bidi w:val="0"/>
        <w:spacing w:line="594" w:lineRule="exact"/>
        <w:jc w:val="both"/>
        <w:rPr>
          <w:rFonts w:hint="eastAsia" w:asciiTheme="majorEastAsia" w:hAnsiTheme="majorEastAsia" w:eastAsiaTheme="majorEastAsia"/>
          <w:b/>
          <w:sz w:val="28"/>
          <w:szCs w:val="28"/>
          <w:highlight w:val="none"/>
        </w:rPr>
      </w:pPr>
    </w:p>
    <w:p>
      <w:pPr>
        <w:keepNext w:val="0"/>
        <w:keepLines w:val="0"/>
        <w:pageBreakBefore w:val="0"/>
        <w:widowControl w:val="0"/>
        <w:kinsoku/>
        <w:wordWrap/>
        <w:overflowPunct/>
        <w:topLinePunct w:val="0"/>
        <w:bidi w:val="0"/>
        <w:spacing w:line="594" w:lineRule="exact"/>
        <w:jc w:val="center"/>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（一）供应商廉洁承诺书</w:t>
      </w:r>
    </w:p>
    <w:p>
      <w:pPr>
        <w:keepNext w:val="0"/>
        <w:keepLines w:val="0"/>
        <w:pageBreakBefore w:val="0"/>
        <w:widowControl w:val="0"/>
        <w:kinsoku/>
        <w:wordWrap/>
        <w:overflowPunct/>
        <w:topLinePunct w:val="0"/>
        <w:bidi w:val="0"/>
        <w:spacing w:line="594" w:lineRule="exact"/>
        <w:rPr>
          <w:highlight w:val="none"/>
        </w:rPr>
      </w:pPr>
    </w:p>
    <w:p>
      <w:pPr>
        <w:keepNext w:val="0"/>
        <w:keepLines w:val="0"/>
        <w:pageBreakBefore w:val="0"/>
        <w:widowControl w:val="0"/>
        <w:kinsoku/>
        <w:wordWrap/>
        <w:overflowPunct/>
        <w:topLinePunct w:val="0"/>
        <w:bidi w:val="0"/>
        <w:spacing w:line="594" w:lineRule="exact"/>
        <w:rPr>
          <w:rFonts w:asciiTheme="minorEastAsia" w:hAnsiTheme="minorEastAsia"/>
          <w:sz w:val="24"/>
          <w:highlight w:val="none"/>
        </w:rPr>
      </w:pPr>
      <w:r>
        <w:rPr>
          <w:rFonts w:hint="eastAsia" w:asciiTheme="minorEastAsia" w:hAnsiTheme="minorEastAsia"/>
          <w:sz w:val="24"/>
          <w:highlight w:val="none"/>
        </w:rPr>
        <w:t>本企业参与</w:t>
      </w:r>
      <w:r>
        <w:rPr>
          <w:rFonts w:hint="eastAsia" w:cs="宋体" w:asciiTheme="minorEastAsia" w:hAnsiTheme="minorEastAsia"/>
          <w:bCs/>
          <w:kern w:val="36"/>
          <w:sz w:val="24"/>
          <w:highlight w:val="none"/>
          <w:u w:val="single"/>
        </w:rPr>
        <w:t xml:space="preserve">                     </w:t>
      </w:r>
      <w:r>
        <w:rPr>
          <w:rFonts w:hint="eastAsia" w:asciiTheme="minorEastAsia" w:hAnsiTheme="minorEastAsia"/>
          <w:sz w:val="24"/>
          <w:highlight w:val="none"/>
        </w:rPr>
        <w:t>项目的谈判活动，现郑重承诺：</w:t>
      </w:r>
    </w:p>
    <w:p>
      <w:pPr>
        <w:keepNext w:val="0"/>
        <w:keepLines w:val="0"/>
        <w:pageBreakBefore w:val="0"/>
        <w:widowControl w:val="0"/>
        <w:numPr>
          <w:ilvl w:val="0"/>
          <w:numId w:val="2"/>
        </w:numPr>
        <w:kinsoku/>
        <w:wordWrap/>
        <w:overflowPunct/>
        <w:topLinePunct w:val="0"/>
        <w:bidi w:val="0"/>
        <w:spacing w:line="594" w:lineRule="exact"/>
        <w:ind w:left="0" w:firstLine="709"/>
        <w:rPr>
          <w:rFonts w:asciiTheme="minorEastAsia" w:hAnsiTheme="minorEastAsia"/>
          <w:sz w:val="24"/>
          <w:highlight w:val="none"/>
        </w:rPr>
      </w:pPr>
      <w:r>
        <w:rPr>
          <w:rFonts w:hint="eastAsia" w:asciiTheme="minorEastAsia" w:hAnsiTheme="minorEastAsia"/>
          <w:sz w:val="24"/>
          <w:highlight w:val="none"/>
        </w:rPr>
        <w:t>不以任何方式向项目采购人员、中介人员、审批人员、监管人员、行业主管人员以及评标（评审）专家等行贿。</w:t>
      </w:r>
    </w:p>
    <w:p>
      <w:pPr>
        <w:keepNext w:val="0"/>
        <w:keepLines w:val="0"/>
        <w:pageBreakBefore w:val="0"/>
        <w:widowControl w:val="0"/>
        <w:numPr>
          <w:ilvl w:val="0"/>
          <w:numId w:val="2"/>
        </w:numPr>
        <w:kinsoku/>
        <w:wordWrap/>
        <w:overflowPunct/>
        <w:topLinePunct w:val="0"/>
        <w:bidi w:val="0"/>
        <w:spacing w:line="594" w:lineRule="exact"/>
        <w:ind w:left="0" w:firstLine="709"/>
        <w:rPr>
          <w:rFonts w:asciiTheme="minorEastAsia" w:hAnsiTheme="minorEastAsia"/>
          <w:sz w:val="24"/>
          <w:highlight w:val="none"/>
        </w:rPr>
      </w:pPr>
      <w:r>
        <w:rPr>
          <w:rFonts w:hint="eastAsia" w:asciiTheme="minorEastAsia" w:hAnsiTheme="minorEastAsia"/>
          <w:sz w:val="24"/>
          <w:highlight w:val="none"/>
        </w:rPr>
        <w:t>不以任何方式托人打招呼、求关照，搞利益结盟，腐蚀党和国家机关工作人员。</w:t>
      </w:r>
    </w:p>
    <w:p>
      <w:pPr>
        <w:keepNext w:val="0"/>
        <w:keepLines w:val="0"/>
        <w:pageBreakBefore w:val="0"/>
        <w:widowControl w:val="0"/>
        <w:kinsoku/>
        <w:wordWrap/>
        <w:overflowPunct/>
        <w:topLinePunct w:val="0"/>
        <w:bidi w:val="0"/>
        <w:spacing w:line="594" w:lineRule="exact"/>
        <w:ind w:left="709"/>
        <w:rPr>
          <w:rFonts w:asciiTheme="minorEastAsia" w:hAnsiTheme="minorEastAsia"/>
          <w:sz w:val="24"/>
          <w:highlight w:val="none"/>
        </w:rPr>
      </w:pPr>
      <w:r>
        <w:rPr>
          <w:rFonts w:hint="eastAsia" w:asciiTheme="minorEastAsia" w:hAnsiTheme="minorEastAsia"/>
          <w:sz w:val="24"/>
          <w:highlight w:val="none"/>
        </w:rPr>
        <w:t>以上承诺如有违反，请严肃处理，欢迎监督举报！</w:t>
      </w:r>
    </w:p>
    <w:p>
      <w:pPr>
        <w:keepNext w:val="0"/>
        <w:keepLines w:val="0"/>
        <w:pageBreakBefore w:val="0"/>
        <w:widowControl w:val="0"/>
        <w:kinsoku/>
        <w:wordWrap/>
        <w:overflowPunct/>
        <w:topLinePunct w:val="0"/>
        <w:bidi w:val="0"/>
        <w:spacing w:line="594" w:lineRule="exact"/>
        <w:ind w:firstLine="600" w:firstLineChars="250"/>
        <w:rPr>
          <w:rFonts w:asciiTheme="minorEastAsia" w:hAnsiTheme="minorEastAsia"/>
          <w:sz w:val="24"/>
          <w:highlight w:val="none"/>
        </w:rPr>
      </w:pPr>
    </w:p>
    <w:p>
      <w:pPr>
        <w:keepNext w:val="0"/>
        <w:keepLines w:val="0"/>
        <w:pageBreakBefore w:val="0"/>
        <w:widowControl w:val="0"/>
        <w:kinsoku/>
        <w:wordWrap/>
        <w:overflowPunct/>
        <w:topLinePunct w:val="0"/>
        <w:bidi w:val="0"/>
        <w:spacing w:line="594" w:lineRule="exact"/>
        <w:ind w:firstLine="600" w:firstLineChars="250"/>
        <w:rPr>
          <w:rFonts w:asciiTheme="minorEastAsia" w:hAnsiTheme="minorEastAsia"/>
          <w:sz w:val="24"/>
          <w:highlight w:val="none"/>
        </w:rPr>
      </w:pPr>
    </w:p>
    <w:p>
      <w:pPr>
        <w:keepNext w:val="0"/>
        <w:keepLines w:val="0"/>
        <w:pageBreakBefore w:val="0"/>
        <w:widowControl w:val="0"/>
        <w:kinsoku/>
        <w:wordWrap/>
        <w:overflowPunct/>
        <w:topLinePunct w:val="0"/>
        <w:bidi w:val="0"/>
        <w:spacing w:line="594" w:lineRule="exact"/>
        <w:ind w:firstLine="4800" w:firstLineChars="2000"/>
        <w:rPr>
          <w:rFonts w:asciiTheme="minorEastAsia" w:hAnsiTheme="minorEastAsia"/>
          <w:sz w:val="24"/>
          <w:highlight w:val="none"/>
        </w:rPr>
      </w:pPr>
      <w:r>
        <w:rPr>
          <w:rFonts w:hint="eastAsia" w:asciiTheme="minorEastAsia" w:hAnsiTheme="minorEastAsia"/>
          <w:sz w:val="24"/>
          <w:highlight w:val="none"/>
        </w:rPr>
        <w:t>供应商（盖章）：</w:t>
      </w:r>
    </w:p>
    <w:p>
      <w:pPr>
        <w:keepNext w:val="0"/>
        <w:keepLines w:val="0"/>
        <w:pageBreakBefore w:val="0"/>
        <w:widowControl w:val="0"/>
        <w:kinsoku/>
        <w:wordWrap/>
        <w:overflowPunct/>
        <w:topLinePunct w:val="0"/>
        <w:bidi w:val="0"/>
        <w:spacing w:line="594" w:lineRule="exact"/>
        <w:ind w:firstLine="2160" w:firstLineChars="900"/>
        <w:rPr>
          <w:rFonts w:asciiTheme="minorEastAsia" w:hAnsiTheme="minorEastAsia"/>
          <w:sz w:val="24"/>
          <w:highlight w:val="none"/>
        </w:rPr>
      </w:pPr>
      <w:r>
        <w:rPr>
          <w:rFonts w:hint="eastAsia" w:asciiTheme="minorEastAsia" w:hAnsiTheme="minorEastAsia"/>
          <w:sz w:val="24"/>
          <w:highlight w:val="none"/>
        </w:rPr>
        <w:t>法定代表人（负责人、经营者）或授权委托人（签字）：</w:t>
      </w:r>
    </w:p>
    <w:p>
      <w:pPr>
        <w:keepNext w:val="0"/>
        <w:keepLines w:val="0"/>
        <w:pageBreakBefore w:val="0"/>
        <w:widowControl w:val="0"/>
        <w:kinsoku/>
        <w:wordWrap/>
        <w:overflowPunct/>
        <w:topLinePunct w:val="0"/>
        <w:bidi w:val="0"/>
        <w:spacing w:line="594" w:lineRule="exact"/>
        <w:ind w:firstLine="5400" w:firstLineChars="2250"/>
        <w:rPr>
          <w:rFonts w:ascii="仿宋_GB2312" w:eastAsia="仿宋_GB2312"/>
          <w:sz w:val="32"/>
          <w:szCs w:val="32"/>
          <w:highlight w:val="none"/>
        </w:rPr>
        <w:sectPr>
          <w:footerReference r:id="rId7" w:type="default"/>
          <w:footerReference r:id="rId8" w:type="even"/>
          <w:pgSz w:w="11906" w:h="16838"/>
          <w:pgMar w:top="1440" w:right="1418" w:bottom="1440" w:left="1418"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Theme="minorEastAsia" w:hAnsiTheme="minorEastAsia"/>
          <w:sz w:val="24"/>
          <w:highlight w:val="none"/>
        </w:rPr>
        <w:t>年   月   日</w:t>
      </w:r>
    </w:p>
    <w:p>
      <w:pPr>
        <w:keepNext w:val="0"/>
        <w:keepLines w:val="0"/>
        <w:pageBreakBefore w:val="0"/>
        <w:widowControl w:val="0"/>
        <w:kinsoku/>
        <w:wordWrap/>
        <w:overflowPunct/>
        <w:topLinePunct w:val="0"/>
        <w:bidi w:val="0"/>
        <w:spacing w:line="594" w:lineRule="exact"/>
        <w:ind w:firstLine="562" w:firstLineChars="200"/>
        <w:jc w:val="center"/>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（二）法定代表人（负责人、经营者)身份证明</w:t>
      </w:r>
    </w:p>
    <w:p>
      <w:pPr>
        <w:keepNext w:val="0"/>
        <w:keepLines w:val="0"/>
        <w:pageBreakBefore w:val="0"/>
        <w:widowControl w:val="0"/>
        <w:kinsoku/>
        <w:wordWrap/>
        <w:overflowPunct/>
        <w:topLinePunct w:val="0"/>
        <w:bidi w:val="0"/>
        <w:spacing w:line="360" w:lineRule="auto"/>
        <w:jc w:val="left"/>
        <w:rPr>
          <w:rFonts w:asciiTheme="majorEastAsia" w:hAnsiTheme="majorEastAsia" w:eastAsiaTheme="majorEastAsia"/>
          <w:b/>
          <w:sz w:val="28"/>
          <w:szCs w:val="28"/>
          <w:highlight w:val="none"/>
        </w:rPr>
      </w:pPr>
    </w:p>
    <w:p>
      <w:pPr>
        <w:keepNext w:val="0"/>
        <w:keepLines w:val="0"/>
        <w:pageBreakBefore w:val="0"/>
        <w:widowControl w:val="0"/>
        <w:kinsoku/>
        <w:wordWrap/>
        <w:overflowPunct/>
        <w:topLinePunct w:val="0"/>
        <w:bidi w:val="0"/>
        <w:spacing w:line="360" w:lineRule="auto"/>
        <w:ind w:firstLine="240" w:firstLineChars="100"/>
        <w:jc w:val="left"/>
        <w:rPr>
          <w:rFonts w:ascii="宋体" w:hAnsi="宋体"/>
          <w:sz w:val="24"/>
          <w:highlight w:val="none"/>
        </w:rPr>
      </w:pPr>
      <w:r>
        <w:rPr>
          <w:rFonts w:hint="eastAsia" w:ascii="宋体" w:hAnsi="宋体"/>
          <w:sz w:val="24"/>
          <w:highlight w:val="none"/>
        </w:rPr>
        <w:t>供应商名称：</w:t>
      </w:r>
      <w:r>
        <w:rPr>
          <w:rFonts w:hint="eastAsia" w:ascii="宋体" w:hAnsi="宋体"/>
          <w:sz w:val="24"/>
          <w:highlight w:val="none"/>
          <w:u w:val="single"/>
        </w:rPr>
        <w:t xml:space="preserve">                                </w:t>
      </w:r>
    </w:p>
    <w:p>
      <w:pPr>
        <w:keepNext w:val="0"/>
        <w:keepLines w:val="0"/>
        <w:pageBreakBefore w:val="0"/>
        <w:widowControl w:val="0"/>
        <w:kinsoku/>
        <w:wordWrap/>
        <w:overflowPunct/>
        <w:topLinePunct w:val="0"/>
        <w:bidi w:val="0"/>
        <w:spacing w:line="360" w:lineRule="auto"/>
        <w:jc w:val="left"/>
        <w:rPr>
          <w:rFonts w:ascii="宋体" w:hAnsi="宋体"/>
          <w:sz w:val="24"/>
          <w:highlight w:val="none"/>
        </w:rPr>
      </w:pPr>
      <w:r>
        <w:rPr>
          <w:rFonts w:hint="eastAsia" w:ascii="宋体" w:hAnsi="宋体"/>
          <w:sz w:val="24"/>
          <w:highlight w:val="none"/>
        </w:rPr>
        <w:t xml:space="preserve">   单位性质：</w:t>
      </w:r>
      <w:r>
        <w:rPr>
          <w:rFonts w:hint="eastAsia" w:ascii="宋体" w:hAnsi="宋体"/>
          <w:sz w:val="24"/>
          <w:highlight w:val="none"/>
          <w:u w:val="single"/>
        </w:rPr>
        <w:t xml:space="preserve">                                  </w:t>
      </w:r>
    </w:p>
    <w:p>
      <w:pPr>
        <w:keepNext w:val="0"/>
        <w:keepLines w:val="0"/>
        <w:pageBreakBefore w:val="0"/>
        <w:widowControl w:val="0"/>
        <w:kinsoku/>
        <w:wordWrap/>
        <w:overflowPunct/>
        <w:topLinePunct w:val="0"/>
        <w:bidi w:val="0"/>
        <w:spacing w:line="360" w:lineRule="auto"/>
        <w:jc w:val="left"/>
        <w:rPr>
          <w:rFonts w:ascii="宋体" w:hAnsi="宋体"/>
          <w:sz w:val="24"/>
          <w:highlight w:val="none"/>
        </w:rPr>
      </w:pPr>
      <w:r>
        <w:rPr>
          <w:rFonts w:hint="eastAsia" w:ascii="宋体" w:hAnsi="宋体"/>
          <w:sz w:val="24"/>
          <w:highlight w:val="none"/>
        </w:rPr>
        <w:t xml:space="preserve">   地    址：</w:t>
      </w:r>
      <w:r>
        <w:rPr>
          <w:rFonts w:hint="eastAsia" w:ascii="宋体" w:hAnsi="宋体"/>
          <w:sz w:val="24"/>
          <w:highlight w:val="none"/>
          <w:u w:val="single"/>
        </w:rPr>
        <w:t xml:space="preserve">                                  </w:t>
      </w:r>
    </w:p>
    <w:p>
      <w:pPr>
        <w:keepNext w:val="0"/>
        <w:keepLines w:val="0"/>
        <w:pageBreakBefore w:val="0"/>
        <w:widowControl w:val="0"/>
        <w:kinsoku/>
        <w:wordWrap/>
        <w:overflowPunct/>
        <w:topLinePunct w:val="0"/>
        <w:bidi w:val="0"/>
        <w:spacing w:line="360" w:lineRule="auto"/>
        <w:jc w:val="left"/>
        <w:rPr>
          <w:rFonts w:ascii="宋体" w:hAnsi="宋体"/>
          <w:szCs w:val="21"/>
          <w:highlight w:val="none"/>
        </w:rPr>
      </w:pPr>
      <w:r>
        <w:rPr>
          <w:rFonts w:hint="eastAsia" w:ascii="宋体" w:hAnsi="宋体"/>
          <w:sz w:val="24"/>
          <w:highlight w:val="none"/>
        </w:rPr>
        <w:t xml:space="preserve">   成立时间：</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keepNext w:val="0"/>
        <w:keepLines w:val="0"/>
        <w:pageBreakBefore w:val="0"/>
        <w:widowControl w:val="0"/>
        <w:kinsoku/>
        <w:wordWrap/>
        <w:overflowPunct/>
        <w:topLinePunct w:val="0"/>
        <w:bidi w:val="0"/>
        <w:spacing w:line="360" w:lineRule="auto"/>
        <w:jc w:val="left"/>
        <w:rPr>
          <w:rFonts w:ascii="宋体" w:hAnsi="宋体"/>
          <w:sz w:val="24"/>
          <w:highlight w:val="none"/>
        </w:rPr>
      </w:pPr>
      <w:r>
        <w:rPr>
          <w:rFonts w:hint="eastAsia" w:ascii="宋体" w:hAnsi="宋体"/>
          <w:sz w:val="24"/>
          <w:highlight w:val="none"/>
        </w:rPr>
        <w:t xml:space="preserve">   经营期限：</w:t>
      </w:r>
      <w:r>
        <w:rPr>
          <w:rFonts w:hint="eastAsia" w:ascii="宋体" w:hAnsi="宋体"/>
          <w:sz w:val="24"/>
          <w:highlight w:val="none"/>
          <w:u w:val="single"/>
        </w:rPr>
        <w:t xml:space="preserve">                                  </w:t>
      </w:r>
    </w:p>
    <w:p>
      <w:pPr>
        <w:keepNext w:val="0"/>
        <w:keepLines w:val="0"/>
        <w:pageBreakBefore w:val="0"/>
        <w:widowControl w:val="0"/>
        <w:tabs>
          <w:tab w:val="left" w:pos="6300"/>
        </w:tabs>
        <w:kinsoku/>
        <w:wordWrap/>
        <w:overflowPunct/>
        <w:topLinePunct w:val="0"/>
        <w:bidi w:val="0"/>
        <w:spacing w:line="360" w:lineRule="auto"/>
        <w:jc w:val="left"/>
        <w:rPr>
          <w:rFonts w:ascii="宋体" w:hAnsi="宋体"/>
          <w:sz w:val="24"/>
          <w:highlight w:val="none"/>
          <w:u w:val="single"/>
          <w:lang w:val="zh-CN"/>
        </w:rPr>
      </w:pPr>
    </w:p>
    <w:p>
      <w:pPr>
        <w:keepNext w:val="0"/>
        <w:keepLines w:val="0"/>
        <w:pageBreakBefore w:val="0"/>
        <w:widowControl w:val="0"/>
        <w:kinsoku/>
        <w:wordWrap/>
        <w:overflowPunct/>
        <w:topLinePunct w:val="0"/>
        <w:bidi w:val="0"/>
        <w:spacing w:line="360" w:lineRule="auto"/>
        <w:jc w:val="left"/>
        <w:rPr>
          <w:rFonts w:ascii="宋体" w:hAnsi="宋体"/>
          <w:sz w:val="24"/>
          <w:highlight w:val="none"/>
        </w:rPr>
      </w:pPr>
      <w:r>
        <w:rPr>
          <w:rFonts w:hint="eastAsia" w:ascii="宋体" w:hAnsi="宋体"/>
          <w:sz w:val="24"/>
          <w:highlight w:val="none"/>
        </w:rPr>
        <w:t xml:space="preserve">    姓名：</w:t>
      </w:r>
      <w:r>
        <w:rPr>
          <w:rFonts w:hint="eastAsia" w:ascii="宋体" w:hAnsi="宋体"/>
          <w:sz w:val="24"/>
          <w:highlight w:val="none"/>
          <w:u w:val="single"/>
        </w:rPr>
        <w:t xml:space="preserve">         </w:t>
      </w:r>
      <w:r>
        <w:rPr>
          <w:rFonts w:hint="eastAsia" w:ascii="宋体" w:hAnsi="宋体"/>
          <w:sz w:val="24"/>
          <w:highlight w:val="none"/>
        </w:rPr>
        <w:t>系</w:t>
      </w:r>
      <w:r>
        <w:rPr>
          <w:rFonts w:hint="eastAsia" w:ascii="宋体" w:hAnsi="宋体"/>
          <w:sz w:val="24"/>
          <w:highlight w:val="none"/>
          <w:u w:val="single"/>
        </w:rPr>
        <w:t xml:space="preserve">                            </w:t>
      </w:r>
      <w:r>
        <w:rPr>
          <w:rFonts w:hint="eastAsia" w:ascii="宋体" w:hAnsi="宋体"/>
          <w:sz w:val="24"/>
          <w:highlight w:val="none"/>
        </w:rPr>
        <w:t>（供应商名称）的法定代表人（负责人、经营者)（职务：</w:t>
      </w:r>
      <w:r>
        <w:rPr>
          <w:rFonts w:hint="eastAsia" w:ascii="宋体" w:hAnsi="宋体"/>
          <w:sz w:val="24"/>
          <w:highlight w:val="none"/>
          <w:u w:val="single"/>
        </w:rPr>
        <w:t xml:space="preserve">           </w:t>
      </w:r>
      <w:r>
        <w:rPr>
          <w:rFonts w:hint="eastAsia" w:ascii="宋体" w:hAnsi="宋体"/>
          <w:sz w:val="24"/>
          <w:highlight w:val="none"/>
        </w:rPr>
        <w:t>电话：</w:t>
      </w:r>
      <w:r>
        <w:rPr>
          <w:rFonts w:hint="eastAsia" w:ascii="宋体" w:hAnsi="宋体"/>
          <w:sz w:val="24"/>
          <w:highlight w:val="none"/>
          <w:u w:val="single"/>
        </w:rPr>
        <w:t xml:space="preserve">                </w:t>
      </w:r>
      <w:r>
        <w:rPr>
          <w:rFonts w:hint="eastAsia" w:ascii="宋体" w:hAnsi="宋体"/>
          <w:sz w:val="24"/>
          <w:highlight w:val="none"/>
        </w:rPr>
        <w:t>）。</w:t>
      </w:r>
    </w:p>
    <w:p>
      <w:pPr>
        <w:keepNext w:val="0"/>
        <w:keepLines w:val="0"/>
        <w:pageBreakBefore w:val="0"/>
        <w:widowControl w:val="0"/>
        <w:kinsoku/>
        <w:wordWrap/>
        <w:overflowPunct/>
        <w:topLinePunct w:val="0"/>
        <w:bidi w:val="0"/>
        <w:spacing w:line="360" w:lineRule="auto"/>
        <w:jc w:val="left"/>
        <w:rPr>
          <w:rFonts w:ascii="宋体" w:hAnsi="宋体"/>
          <w:sz w:val="24"/>
          <w:highlight w:val="none"/>
        </w:rPr>
      </w:pPr>
    </w:p>
    <w:p>
      <w:pPr>
        <w:keepNext w:val="0"/>
        <w:keepLines w:val="0"/>
        <w:pageBreakBefore w:val="0"/>
        <w:widowControl w:val="0"/>
        <w:tabs>
          <w:tab w:val="left" w:pos="6300"/>
        </w:tabs>
        <w:kinsoku/>
        <w:wordWrap/>
        <w:overflowPunct/>
        <w:topLinePunct w:val="0"/>
        <w:bidi w:val="0"/>
        <w:spacing w:line="360" w:lineRule="auto"/>
        <w:jc w:val="left"/>
        <w:rPr>
          <w:rFonts w:ascii="宋体" w:hAnsi="宋体"/>
          <w:sz w:val="24"/>
          <w:highlight w:val="none"/>
          <w:lang w:val="zh-CN"/>
        </w:rPr>
      </w:pPr>
      <w:r>
        <w:rPr>
          <w:rFonts w:hint="eastAsia" w:ascii="宋体" w:hAnsi="宋体"/>
          <w:sz w:val="24"/>
          <w:highlight w:val="none"/>
          <w:lang w:val="zh-CN"/>
        </w:rPr>
        <w:t xml:space="preserve">    特此证明。</w:t>
      </w:r>
    </w:p>
    <w:p>
      <w:pPr>
        <w:keepNext w:val="0"/>
        <w:keepLines w:val="0"/>
        <w:pageBreakBefore w:val="0"/>
        <w:widowControl w:val="0"/>
        <w:tabs>
          <w:tab w:val="left" w:pos="6300"/>
        </w:tabs>
        <w:kinsoku/>
        <w:wordWrap/>
        <w:overflowPunct/>
        <w:topLinePunct w:val="0"/>
        <w:bidi w:val="0"/>
        <w:spacing w:line="360" w:lineRule="auto"/>
        <w:jc w:val="left"/>
        <w:rPr>
          <w:rFonts w:ascii="宋体" w:hAnsi="宋体"/>
          <w:sz w:val="24"/>
          <w:highlight w:val="none"/>
          <w:lang w:val="zh-CN"/>
        </w:rPr>
      </w:pPr>
    </w:p>
    <w:p>
      <w:pPr>
        <w:keepNext w:val="0"/>
        <w:keepLines w:val="0"/>
        <w:pageBreakBefore w:val="0"/>
        <w:widowControl w:val="0"/>
        <w:tabs>
          <w:tab w:val="left" w:pos="6300"/>
        </w:tabs>
        <w:kinsoku/>
        <w:wordWrap/>
        <w:overflowPunct/>
        <w:topLinePunct w:val="0"/>
        <w:bidi w:val="0"/>
        <w:spacing w:line="360" w:lineRule="auto"/>
        <w:jc w:val="left"/>
        <w:rPr>
          <w:rFonts w:ascii="宋体" w:hAnsi="宋体"/>
          <w:sz w:val="24"/>
          <w:highlight w:val="none"/>
          <w:lang w:val="zh-CN"/>
        </w:rPr>
      </w:pPr>
    </w:p>
    <w:p>
      <w:pPr>
        <w:keepNext w:val="0"/>
        <w:keepLines w:val="0"/>
        <w:pageBreakBefore w:val="0"/>
        <w:widowControl w:val="0"/>
        <w:kinsoku/>
        <w:wordWrap/>
        <w:overflowPunct/>
        <w:topLinePunct w:val="0"/>
        <w:bidi w:val="0"/>
        <w:spacing w:line="360" w:lineRule="auto"/>
        <w:jc w:val="left"/>
        <w:rPr>
          <w:rFonts w:ascii="宋体" w:hAnsi="宋体"/>
          <w:sz w:val="24"/>
          <w:highlight w:val="none"/>
          <w:lang w:val="zh-CN"/>
        </w:rPr>
      </w:pPr>
      <w:r>
        <w:rPr>
          <w:rFonts w:ascii="宋体" w:hAnsi="宋体"/>
          <w:sz w:val="24"/>
          <w:highlight w:val="none"/>
          <w:lang w:val="zh-CN"/>
        </w:rPr>
        <w:t xml:space="preserve"> </w:t>
      </w:r>
      <w:r>
        <w:rPr>
          <w:rFonts w:hint="eastAsia" w:ascii="宋体" w:hAnsi="宋体"/>
          <w:sz w:val="24"/>
          <w:highlight w:val="none"/>
          <w:lang w:val="zh-CN"/>
        </w:rPr>
        <w:t xml:space="preserve">                       供应商名称：</w:t>
      </w:r>
      <w:r>
        <w:rPr>
          <w:rFonts w:ascii="宋体" w:hAnsi="宋体"/>
          <w:sz w:val="24"/>
          <w:highlight w:val="none"/>
          <w:u w:val="single"/>
          <w:lang w:val="zh-CN"/>
        </w:rPr>
        <w:tab/>
      </w:r>
      <w:r>
        <w:rPr>
          <w:rFonts w:ascii="宋体" w:hAnsi="宋体"/>
          <w:sz w:val="24"/>
          <w:highlight w:val="none"/>
          <w:u w:val="single"/>
          <w:lang w:val="zh-CN"/>
        </w:rPr>
        <w:tab/>
      </w:r>
      <w:r>
        <w:rPr>
          <w:rFonts w:ascii="宋体" w:hAnsi="宋体"/>
          <w:sz w:val="24"/>
          <w:highlight w:val="none"/>
          <w:u w:val="single"/>
          <w:lang w:val="zh-CN"/>
        </w:rPr>
        <w:tab/>
      </w:r>
      <w:r>
        <w:rPr>
          <w:rFonts w:ascii="宋体" w:hAnsi="宋体"/>
          <w:sz w:val="24"/>
          <w:highlight w:val="none"/>
          <w:u w:val="single"/>
          <w:lang w:val="zh-CN"/>
        </w:rPr>
        <w:tab/>
      </w:r>
      <w:r>
        <w:rPr>
          <w:rFonts w:ascii="宋体" w:hAnsi="宋体"/>
          <w:sz w:val="24"/>
          <w:highlight w:val="none"/>
          <w:u w:val="single"/>
          <w:lang w:val="zh-CN"/>
        </w:rPr>
        <w:tab/>
      </w:r>
      <w:r>
        <w:rPr>
          <w:rFonts w:ascii="宋体" w:hAnsi="宋体"/>
          <w:sz w:val="24"/>
          <w:highlight w:val="none"/>
          <w:u w:val="single"/>
          <w:lang w:val="zh-CN"/>
        </w:rPr>
        <w:t xml:space="preserve">     </w:t>
      </w:r>
      <w:r>
        <w:rPr>
          <w:rFonts w:hint="eastAsia" w:ascii="宋体" w:hAnsi="宋体"/>
          <w:sz w:val="24"/>
          <w:highlight w:val="none"/>
          <w:u w:val="single"/>
          <w:lang w:val="zh-CN"/>
        </w:rPr>
        <w:t xml:space="preserve"> </w:t>
      </w:r>
      <w:r>
        <w:rPr>
          <w:rFonts w:hint="eastAsia" w:ascii="宋体" w:hAnsi="宋体"/>
          <w:sz w:val="24"/>
          <w:highlight w:val="none"/>
          <w:lang w:val="zh-CN"/>
        </w:rPr>
        <w:t>（盖公章）</w:t>
      </w:r>
    </w:p>
    <w:p>
      <w:pPr>
        <w:keepNext w:val="0"/>
        <w:keepLines w:val="0"/>
        <w:pageBreakBefore w:val="0"/>
        <w:widowControl w:val="0"/>
        <w:kinsoku/>
        <w:wordWrap/>
        <w:overflowPunct/>
        <w:topLinePunct w:val="0"/>
        <w:bidi w:val="0"/>
        <w:spacing w:line="360" w:lineRule="auto"/>
        <w:ind w:firstLine="480" w:firstLineChars="200"/>
        <w:jc w:val="left"/>
        <w:rPr>
          <w:rFonts w:ascii="宋体" w:hAnsi="宋体"/>
          <w:szCs w:val="21"/>
          <w:highlight w:val="none"/>
        </w:rPr>
      </w:pPr>
      <w:r>
        <w:rPr>
          <w:rFonts w:hint="eastAsia" w:ascii="宋体" w:hAnsi="宋体"/>
          <w:bCs/>
          <w:sz w:val="24"/>
          <w:highlight w:val="none"/>
        </w:rPr>
        <w:t xml:space="preserve">                              日      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keepNext w:val="0"/>
        <w:keepLines w:val="0"/>
        <w:pageBreakBefore w:val="0"/>
        <w:widowControl w:val="0"/>
        <w:kinsoku/>
        <w:wordWrap/>
        <w:overflowPunct/>
        <w:topLinePunct w:val="0"/>
        <w:bidi w:val="0"/>
        <w:spacing w:line="594" w:lineRule="exact"/>
        <w:ind w:firstLine="420" w:firstLineChars="200"/>
        <w:jc w:val="center"/>
        <w:rPr>
          <w:rFonts w:ascii="宋体" w:hAnsi="宋体"/>
          <w:szCs w:val="21"/>
          <w:highlight w:val="none"/>
        </w:rPr>
      </w:pPr>
    </w:p>
    <w:p>
      <w:pPr>
        <w:keepNext w:val="0"/>
        <w:keepLines w:val="0"/>
        <w:pageBreakBefore w:val="0"/>
        <w:widowControl w:val="0"/>
        <w:kinsoku/>
        <w:wordWrap/>
        <w:overflowPunct/>
        <w:topLinePunct w:val="0"/>
        <w:bidi w:val="0"/>
        <w:spacing w:line="594" w:lineRule="exact"/>
        <w:ind w:firstLine="420" w:firstLineChars="200"/>
        <w:jc w:val="center"/>
        <w:rPr>
          <w:rFonts w:ascii="宋体" w:hAnsi="宋体"/>
          <w:szCs w:val="21"/>
          <w:highlight w:val="none"/>
        </w:rPr>
      </w:pPr>
    </w:p>
    <w:p>
      <w:pPr>
        <w:keepNext w:val="0"/>
        <w:keepLines w:val="0"/>
        <w:pageBreakBefore w:val="0"/>
        <w:widowControl w:val="0"/>
        <w:kinsoku/>
        <w:wordWrap/>
        <w:overflowPunct/>
        <w:topLinePunct w:val="0"/>
        <w:bidi w:val="0"/>
        <w:spacing w:line="594" w:lineRule="exact"/>
        <w:ind w:firstLine="420" w:firstLineChars="200"/>
        <w:jc w:val="center"/>
        <w:rPr>
          <w:rFonts w:ascii="宋体" w:hAnsi="宋体"/>
          <w:szCs w:val="21"/>
          <w:highlight w:val="none"/>
        </w:rPr>
      </w:pPr>
    </w:p>
    <w:p>
      <w:pPr>
        <w:keepNext w:val="0"/>
        <w:keepLines w:val="0"/>
        <w:pageBreakBefore w:val="0"/>
        <w:widowControl w:val="0"/>
        <w:kinsoku/>
        <w:wordWrap/>
        <w:overflowPunct/>
        <w:topLinePunct w:val="0"/>
        <w:bidi w:val="0"/>
        <w:spacing w:line="594" w:lineRule="exact"/>
        <w:ind w:firstLine="420" w:firstLineChars="200"/>
        <w:jc w:val="center"/>
        <w:rPr>
          <w:rFonts w:ascii="宋体" w:hAnsi="宋体"/>
          <w:szCs w:val="21"/>
          <w:highlight w:val="none"/>
        </w:rPr>
      </w:pPr>
    </w:p>
    <w:p>
      <w:pPr>
        <w:keepNext w:val="0"/>
        <w:keepLines w:val="0"/>
        <w:pageBreakBefore w:val="0"/>
        <w:widowControl w:val="0"/>
        <w:kinsoku/>
        <w:wordWrap/>
        <w:overflowPunct/>
        <w:topLinePunct w:val="0"/>
        <w:bidi w:val="0"/>
        <w:spacing w:line="594" w:lineRule="exact"/>
        <w:ind w:firstLine="420" w:firstLineChars="200"/>
        <w:jc w:val="center"/>
        <w:rPr>
          <w:rFonts w:ascii="宋体" w:hAnsi="宋体"/>
          <w:szCs w:val="21"/>
          <w:highlight w:val="none"/>
        </w:rPr>
      </w:pPr>
    </w:p>
    <w:p>
      <w:pPr>
        <w:keepNext w:val="0"/>
        <w:keepLines w:val="0"/>
        <w:pageBreakBefore w:val="0"/>
        <w:widowControl w:val="0"/>
        <w:kinsoku/>
        <w:wordWrap/>
        <w:overflowPunct/>
        <w:topLinePunct w:val="0"/>
        <w:bidi w:val="0"/>
        <w:spacing w:line="594" w:lineRule="exact"/>
        <w:rPr>
          <w:rFonts w:ascii="宋体" w:hAnsi="宋体"/>
          <w:szCs w:val="21"/>
          <w:highlight w:val="none"/>
        </w:rPr>
      </w:pPr>
    </w:p>
    <w:p>
      <w:pPr>
        <w:keepNext w:val="0"/>
        <w:keepLines w:val="0"/>
        <w:pageBreakBefore w:val="0"/>
        <w:widowControl w:val="0"/>
        <w:kinsoku/>
        <w:wordWrap/>
        <w:overflowPunct/>
        <w:topLinePunct w:val="0"/>
        <w:bidi w:val="0"/>
        <w:spacing w:line="594" w:lineRule="exact"/>
        <w:ind w:firstLine="420" w:firstLineChars="200"/>
        <w:jc w:val="center"/>
        <w:rPr>
          <w:rFonts w:ascii="宋体" w:hAnsi="宋体"/>
          <w:szCs w:val="21"/>
          <w:highlight w:val="none"/>
        </w:rPr>
      </w:pPr>
    </w:p>
    <w:p>
      <w:pPr>
        <w:pStyle w:val="3"/>
        <w:keepNext w:val="0"/>
        <w:keepLines w:val="0"/>
        <w:pageBreakBefore w:val="0"/>
        <w:widowControl w:val="0"/>
        <w:kinsoku/>
        <w:wordWrap/>
        <w:overflowPunct/>
        <w:topLinePunct w:val="0"/>
        <w:bidi w:val="0"/>
        <w:spacing w:before="0" w:after="0" w:line="240" w:lineRule="auto"/>
        <w:jc w:val="left"/>
        <w:rPr>
          <w:rFonts w:ascii="宋体" w:hAnsi="宋体" w:eastAsia="宋体"/>
          <w:b w:val="0"/>
          <w:sz w:val="22"/>
          <w:highlight w:val="none"/>
        </w:rPr>
      </w:pPr>
      <w:r>
        <w:rPr>
          <w:rFonts w:hint="eastAsia" w:ascii="宋体" w:hAnsi="宋体" w:eastAsia="宋体"/>
          <w:b w:val="0"/>
          <w:sz w:val="22"/>
          <w:highlight w:val="none"/>
          <w:lang w:val="zh-CN"/>
        </w:rPr>
        <w:t>注：1、</w:t>
      </w:r>
      <w:r>
        <w:rPr>
          <w:rFonts w:hint="eastAsia" w:ascii="宋体" w:hAnsi="宋体" w:eastAsia="宋体"/>
          <w:b w:val="0"/>
          <w:sz w:val="22"/>
          <w:highlight w:val="none"/>
        </w:rPr>
        <w:t>法定代表人（负责人、经营者)亲自参加而不委托代理人参加适用。</w:t>
      </w:r>
    </w:p>
    <w:p>
      <w:pPr>
        <w:pStyle w:val="3"/>
        <w:keepNext w:val="0"/>
        <w:keepLines w:val="0"/>
        <w:pageBreakBefore w:val="0"/>
        <w:widowControl w:val="0"/>
        <w:kinsoku/>
        <w:wordWrap/>
        <w:overflowPunct/>
        <w:topLinePunct w:val="0"/>
        <w:bidi w:val="0"/>
        <w:spacing w:before="0" w:after="0" w:line="240" w:lineRule="auto"/>
        <w:ind w:firstLine="440" w:firstLineChars="200"/>
        <w:jc w:val="left"/>
        <w:rPr>
          <w:rFonts w:ascii="宋体" w:hAnsi="宋体" w:eastAsia="宋体"/>
          <w:b w:val="0"/>
          <w:sz w:val="22"/>
          <w:highlight w:val="none"/>
          <w:lang w:val="zh-CN"/>
        </w:rPr>
      </w:pPr>
      <w:r>
        <w:rPr>
          <w:rFonts w:hint="eastAsia" w:ascii="宋体" w:hAnsi="宋体" w:eastAsia="宋体"/>
          <w:b w:val="0"/>
          <w:sz w:val="22"/>
          <w:highlight w:val="none"/>
        </w:rPr>
        <w:t>2、</w:t>
      </w:r>
      <w:r>
        <w:rPr>
          <w:rFonts w:hint="eastAsia" w:ascii="宋体" w:hAnsi="宋体" w:eastAsia="宋体"/>
          <w:b w:val="0"/>
          <w:sz w:val="22"/>
          <w:highlight w:val="none"/>
          <w:lang w:val="zh-CN"/>
        </w:rPr>
        <w:t>须附法定代表人（负责人、经营者)身份证复印件（</w:t>
      </w:r>
      <w:r>
        <w:rPr>
          <w:rFonts w:ascii="宋体" w:hAnsi="宋体" w:eastAsia="宋体"/>
          <w:b w:val="0"/>
          <w:sz w:val="22"/>
          <w:highlight w:val="none"/>
          <w:lang w:val="zh-CN"/>
        </w:rPr>
        <w:t>身份证</w:t>
      </w:r>
      <w:r>
        <w:rPr>
          <w:rFonts w:hint="eastAsia" w:ascii="宋体" w:hAnsi="宋体" w:eastAsia="宋体"/>
          <w:b w:val="0"/>
          <w:sz w:val="22"/>
          <w:highlight w:val="none"/>
          <w:lang w:val="zh-CN"/>
        </w:rPr>
        <w:t>两面均应复印）。</w:t>
      </w:r>
    </w:p>
    <w:p>
      <w:pPr>
        <w:pStyle w:val="3"/>
        <w:keepNext w:val="0"/>
        <w:keepLines w:val="0"/>
        <w:pageBreakBefore w:val="0"/>
        <w:widowControl w:val="0"/>
        <w:kinsoku/>
        <w:wordWrap/>
        <w:overflowPunct/>
        <w:topLinePunct w:val="0"/>
        <w:bidi w:val="0"/>
        <w:spacing w:before="0" w:after="0" w:line="240" w:lineRule="auto"/>
        <w:ind w:firstLine="440" w:firstLineChars="200"/>
        <w:jc w:val="left"/>
        <w:rPr>
          <w:rFonts w:ascii="宋体" w:hAnsi="宋体" w:eastAsia="宋体"/>
          <w:b w:val="0"/>
          <w:sz w:val="22"/>
          <w:highlight w:val="none"/>
          <w:lang w:val="zh-CN"/>
        </w:rPr>
      </w:pPr>
      <w:r>
        <w:rPr>
          <w:rFonts w:hint="eastAsia" w:ascii="宋体" w:hAnsi="宋体" w:eastAsia="宋体"/>
          <w:b w:val="0"/>
          <w:sz w:val="22"/>
          <w:highlight w:val="none"/>
          <w:lang w:val="zh-CN"/>
        </w:rPr>
        <w:t>3、“法定代表人（负责人、经营者)授权书”中的“负责人”是指：若分公司参与投标时，分公司营业执照上的负责人；“法定代表人（负责人、经营者)授权书”中的“经营者”是指：若个体工商户参与谈判时，营业执照上的经营者姓名。</w:t>
      </w:r>
    </w:p>
    <w:p>
      <w:pPr>
        <w:keepNext w:val="0"/>
        <w:keepLines w:val="0"/>
        <w:pageBreakBefore w:val="0"/>
        <w:widowControl w:val="0"/>
        <w:kinsoku/>
        <w:wordWrap/>
        <w:overflowPunct/>
        <w:topLinePunct w:val="0"/>
        <w:bidi w:val="0"/>
        <w:spacing w:line="594" w:lineRule="exact"/>
        <w:ind w:firstLine="562" w:firstLineChars="200"/>
        <w:jc w:val="center"/>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（三）法定代表人（负责人、经营者)授权委托书</w:t>
      </w:r>
    </w:p>
    <w:p>
      <w:pPr>
        <w:keepNext w:val="0"/>
        <w:keepLines w:val="0"/>
        <w:pageBreakBefore w:val="0"/>
        <w:widowControl w:val="0"/>
        <w:kinsoku/>
        <w:wordWrap/>
        <w:overflowPunct/>
        <w:topLinePunct w:val="0"/>
        <w:bidi w:val="0"/>
        <w:spacing w:line="594" w:lineRule="exact"/>
        <w:jc w:val="center"/>
        <w:rPr>
          <w:rFonts w:ascii="仿宋_GB2312" w:hAnsi="宋体" w:eastAsia="仿宋_GB2312"/>
          <w:b/>
          <w:sz w:val="32"/>
          <w:szCs w:val="32"/>
          <w:highlight w:val="none"/>
        </w:rPr>
      </w:pPr>
    </w:p>
    <w:p>
      <w:pPr>
        <w:keepNext w:val="0"/>
        <w:keepLines w:val="0"/>
        <w:pageBreakBefore w:val="0"/>
        <w:widowControl w:val="0"/>
        <w:kinsoku/>
        <w:wordWrap/>
        <w:overflowPunct/>
        <w:topLinePunct w:val="0"/>
        <w:bidi w:val="0"/>
        <w:spacing w:line="360" w:lineRule="auto"/>
        <w:rPr>
          <w:rFonts w:asciiTheme="minorEastAsia" w:hAnsiTheme="minorEastAsia"/>
          <w:sz w:val="24"/>
          <w:highlight w:val="none"/>
        </w:rPr>
      </w:pPr>
      <w:r>
        <w:rPr>
          <w:rFonts w:hint="eastAsia" w:asciiTheme="minorEastAsia" w:hAnsiTheme="minorEastAsia"/>
          <w:sz w:val="24"/>
          <w:highlight w:val="none"/>
        </w:rPr>
        <w:t>德阳市精神卫生中心：</w:t>
      </w:r>
    </w:p>
    <w:p>
      <w:pPr>
        <w:keepNext w:val="0"/>
        <w:keepLines w:val="0"/>
        <w:pageBreakBefore w:val="0"/>
        <w:widowControl w:val="0"/>
        <w:kinsoku/>
        <w:wordWrap/>
        <w:overflowPunct/>
        <w:topLinePunct w:val="0"/>
        <w:bidi w:val="0"/>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本授权声明：</w:t>
      </w:r>
      <w:r>
        <w:rPr>
          <w:rFonts w:hint="eastAsia" w:asciiTheme="minorEastAsia" w:hAnsiTheme="minorEastAsia"/>
          <w:sz w:val="24"/>
          <w:highlight w:val="none"/>
          <w:u w:val="single"/>
        </w:rPr>
        <w:t>XXX</w:t>
      </w:r>
      <w:r>
        <w:rPr>
          <w:rFonts w:hint="eastAsia" w:asciiTheme="minorEastAsia" w:hAnsiTheme="minorEastAsia"/>
          <w:sz w:val="24"/>
          <w:highlight w:val="none"/>
        </w:rPr>
        <w:t>（单位名称）,</w:t>
      </w:r>
      <w:r>
        <w:rPr>
          <w:rFonts w:hint="eastAsia" w:asciiTheme="minorEastAsia" w:hAnsiTheme="minorEastAsia"/>
          <w:sz w:val="24"/>
          <w:highlight w:val="none"/>
          <w:u w:val="single"/>
        </w:rPr>
        <w:t>XXX</w:t>
      </w:r>
      <w:r>
        <w:rPr>
          <w:rFonts w:hint="eastAsia" w:asciiTheme="minorEastAsia" w:hAnsiTheme="minorEastAsia"/>
          <w:sz w:val="24"/>
          <w:highlight w:val="none"/>
        </w:rPr>
        <w:t>（法定代表人（负责人、经营者)姓名、职务）授权</w:t>
      </w:r>
      <w:r>
        <w:rPr>
          <w:rFonts w:hint="eastAsia" w:asciiTheme="minorEastAsia" w:hAnsiTheme="minorEastAsia"/>
          <w:sz w:val="24"/>
          <w:highlight w:val="none"/>
          <w:u w:val="single"/>
        </w:rPr>
        <w:t xml:space="preserve">XXX                   </w:t>
      </w:r>
      <w:r>
        <w:rPr>
          <w:rFonts w:hint="eastAsia" w:asciiTheme="minorEastAsia" w:hAnsiTheme="minorEastAsia"/>
          <w:sz w:val="24"/>
          <w:highlight w:val="none"/>
        </w:rPr>
        <w:t>（被授权人姓名、职务）为我方参加XXX项目采购活动的合法代表，以我方名义全权处理该项目有关采购、报价、签订合同以及执行合同等一切事宜。</w:t>
      </w:r>
    </w:p>
    <w:p>
      <w:pPr>
        <w:keepNext w:val="0"/>
        <w:keepLines w:val="0"/>
        <w:pageBreakBefore w:val="0"/>
        <w:widowControl w:val="0"/>
        <w:kinsoku/>
        <w:wordWrap/>
        <w:overflowPunct/>
        <w:topLinePunct w:val="0"/>
        <w:bidi w:val="0"/>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特此声明。</w:t>
      </w:r>
    </w:p>
    <w:p>
      <w:pPr>
        <w:keepNext w:val="0"/>
        <w:keepLines w:val="0"/>
        <w:pageBreakBefore w:val="0"/>
        <w:widowControl w:val="0"/>
        <w:kinsoku/>
        <w:wordWrap/>
        <w:overflowPunct/>
        <w:topLinePunct w:val="0"/>
        <w:bidi w:val="0"/>
        <w:spacing w:line="360" w:lineRule="auto"/>
        <w:rPr>
          <w:rFonts w:asciiTheme="minorEastAsia" w:hAnsiTheme="minorEastAsia"/>
          <w:sz w:val="24"/>
          <w:highlight w:val="none"/>
        </w:rPr>
      </w:pPr>
    </w:p>
    <w:p>
      <w:pPr>
        <w:keepNext w:val="0"/>
        <w:keepLines w:val="0"/>
        <w:pageBreakBefore w:val="0"/>
        <w:widowControl w:val="0"/>
        <w:kinsoku/>
        <w:wordWrap/>
        <w:overflowPunct/>
        <w:topLinePunct w:val="0"/>
        <w:bidi w:val="0"/>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供应商名称：XXX（盖单位公章）</w:t>
      </w:r>
    </w:p>
    <w:p>
      <w:pPr>
        <w:keepNext w:val="0"/>
        <w:keepLines w:val="0"/>
        <w:pageBreakBefore w:val="0"/>
        <w:widowControl w:val="0"/>
        <w:kinsoku/>
        <w:wordWrap/>
        <w:overflowPunct/>
        <w:topLinePunct w:val="0"/>
        <w:bidi w:val="0"/>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法定代表人（负责人、经营者）（签字或盖章）：XXX</w:t>
      </w:r>
    </w:p>
    <w:p>
      <w:pPr>
        <w:keepNext w:val="0"/>
        <w:keepLines w:val="0"/>
        <w:pageBreakBefore w:val="0"/>
        <w:widowControl w:val="0"/>
        <w:kinsoku/>
        <w:wordWrap/>
        <w:overflowPunct/>
        <w:topLinePunct w:val="0"/>
        <w:bidi w:val="0"/>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职    务：XXX</w:t>
      </w:r>
    </w:p>
    <w:p>
      <w:pPr>
        <w:keepNext w:val="0"/>
        <w:keepLines w:val="0"/>
        <w:pageBreakBefore w:val="0"/>
        <w:widowControl w:val="0"/>
        <w:kinsoku/>
        <w:wordWrap/>
        <w:overflowPunct/>
        <w:topLinePunct w:val="0"/>
        <w:bidi w:val="0"/>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授权代表签字：XXX</w:t>
      </w:r>
    </w:p>
    <w:p>
      <w:pPr>
        <w:keepNext w:val="0"/>
        <w:keepLines w:val="0"/>
        <w:pageBreakBefore w:val="0"/>
        <w:widowControl w:val="0"/>
        <w:kinsoku/>
        <w:wordWrap/>
        <w:overflowPunct/>
        <w:topLinePunct w:val="0"/>
        <w:bidi w:val="0"/>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职    务：XXX</w:t>
      </w:r>
    </w:p>
    <w:p>
      <w:pPr>
        <w:keepNext w:val="0"/>
        <w:keepLines w:val="0"/>
        <w:pageBreakBefore w:val="0"/>
        <w:widowControl w:val="0"/>
        <w:kinsoku/>
        <w:wordWrap/>
        <w:overflowPunct/>
        <w:topLinePunct w:val="0"/>
        <w:bidi w:val="0"/>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日    期：XXX年XXX月XXX日</w:t>
      </w:r>
    </w:p>
    <w:p>
      <w:pPr>
        <w:keepNext w:val="0"/>
        <w:keepLines w:val="0"/>
        <w:pageBreakBefore w:val="0"/>
        <w:widowControl w:val="0"/>
        <w:kinsoku/>
        <w:wordWrap/>
        <w:overflowPunct/>
        <w:topLinePunct w:val="0"/>
        <w:bidi w:val="0"/>
        <w:spacing w:line="360" w:lineRule="auto"/>
        <w:ind w:firstLine="480" w:firstLineChars="200"/>
        <w:rPr>
          <w:rFonts w:asciiTheme="minorEastAsia" w:hAnsiTheme="minorEastAsia"/>
          <w:sz w:val="24"/>
          <w:highlight w:val="none"/>
        </w:rPr>
      </w:pPr>
    </w:p>
    <w:p>
      <w:pPr>
        <w:keepNext w:val="0"/>
        <w:keepLines w:val="0"/>
        <w:pageBreakBefore w:val="0"/>
        <w:widowControl w:val="0"/>
        <w:kinsoku/>
        <w:wordWrap/>
        <w:overflowPunct/>
        <w:topLinePunct w:val="0"/>
        <w:bidi w:val="0"/>
        <w:spacing w:line="360" w:lineRule="auto"/>
        <w:ind w:firstLine="480" w:firstLineChars="200"/>
        <w:rPr>
          <w:rFonts w:asciiTheme="minorEastAsia" w:hAnsiTheme="minorEastAsia"/>
          <w:sz w:val="24"/>
          <w:highlight w:val="none"/>
        </w:rPr>
      </w:pPr>
    </w:p>
    <w:p>
      <w:pPr>
        <w:keepNext w:val="0"/>
        <w:keepLines w:val="0"/>
        <w:pageBreakBefore w:val="0"/>
        <w:widowControl w:val="0"/>
        <w:kinsoku/>
        <w:wordWrap/>
        <w:overflowPunct/>
        <w:topLinePunct w:val="0"/>
        <w:bidi w:val="0"/>
        <w:spacing w:line="360" w:lineRule="auto"/>
        <w:ind w:firstLine="480" w:firstLineChars="200"/>
        <w:rPr>
          <w:rFonts w:asciiTheme="minorEastAsia" w:hAnsiTheme="minorEastAsia"/>
          <w:sz w:val="24"/>
          <w:highlight w:val="none"/>
        </w:rPr>
      </w:pPr>
    </w:p>
    <w:p>
      <w:pPr>
        <w:keepNext w:val="0"/>
        <w:keepLines w:val="0"/>
        <w:pageBreakBefore w:val="0"/>
        <w:widowControl w:val="0"/>
        <w:kinsoku/>
        <w:wordWrap/>
        <w:overflowPunct/>
        <w:topLinePunct w:val="0"/>
        <w:bidi w:val="0"/>
        <w:spacing w:line="360" w:lineRule="auto"/>
        <w:ind w:firstLine="640" w:firstLineChars="200"/>
        <w:rPr>
          <w:rFonts w:ascii="仿宋_GB2312" w:hAnsi="宋体" w:eastAsia="仿宋_GB2312"/>
          <w:sz w:val="32"/>
          <w:szCs w:val="32"/>
          <w:highlight w:val="none"/>
        </w:rPr>
      </w:pPr>
    </w:p>
    <w:p>
      <w:pPr>
        <w:keepNext w:val="0"/>
        <w:keepLines w:val="0"/>
        <w:pageBreakBefore w:val="0"/>
        <w:widowControl w:val="0"/>
        <w:kinsoku/>
        <w:wordWrap/>
        <w:overflowPunct/>
        <w:topLinePunct w:val="0"/>
        <w:bidi w:val="0"/>
        <w:spacing w:line="360" w:lineRule="auto"/>
        <w:ind w:firstLine="640" w:firstLineChars="200"/>
        <w:rPr>
          <w:rFonts w:ascii="仿宋_GB2312" w:hAnsi="宋体" w:eastAsia="仿宋_GB2312"/>
          <w:sz w:val="32"/>
          <w:szCs w:val="32"/>
          <w:highlight w:val="none"/>
        </w:rPr>
      </w:pPr>
    </w:p>
    <w:p>
      <w:pPr>
        <w:keepNext w:val="0"/>
        <w:keepLines w:val="0"/>
        <w:pageBreakBefore w:val="0"/>
        <w:widowControl w:val="0"/>
        <w:kinsoku/>
        <w:wordWrap/>
        <w:overflowPunct/>
        <w:topLinePunct w:val="0"/>
        <w:bidi w:val="0"/>
        <w:spacing w:line="360" w:lineRule="auto"/>
        <w:rPr>
          <w:rFonts w:ascii="仿宋_GB2312" w:hAnsi="宋体" w:eastAsia="仿宋_GB2312"/>
          <w:sz w:val="32"/>
          <w:szCs w:val="32"/>
          <w:highlight w:val="none"/>
        </w:rPr>
      </w:pPr>
    </w:p>
    <w:p>
      <w:pPr>
        <w:keepNext w:val="0"/>
        <w:keepLines w:val="0"/>
        <w:pageBreakBefore w:val="0"/>
        <w:widowControl w:val="0"/>
        <w:kinsoku/>
        <w:wordWrap/>
        <w:overflowPunct/>
        <w:topLinePunct w:val="0"/>
        <w:bidi w:val="0"/>
        <w:spacing w:line="360" w:lineRule="auto"/>
        <w:ind w:firstLine="640" w:firstLineChars="200"/>
        <w:rPr>
          <w:rFonts w:ascii="仿宋_GB2312" w:hAnsi="宋体" w:eastAsia="仿宋_GB2312"/>
          <w:sz w:val="32"/>
          <w:szCs w:val="32"/>
          <w:highlight w:val="none"/>
        </w:rPr>
      </w:pPr>
    </w:p>
    <w:p>
      <w:pPr>
        <w:pStyle w:val="3"/>
        <w:keepNext w:val="0"/>
        <w:keepLines w:val="0"/>
        <w:pageBreakBefore w:val="0"/>
        <w:widowControl w:val="0"/>
        <w:kinsoku/>
        <w:wordWrap/>
        <w:overflowPunct/>
        <w:topLinePunct w:val="0"/>
        <w:bidi w:val="0"/>
        <w:spacing w:before="0" w:after="0" w:line="240" w:lineRule="auto"/>
        <w:jc w:val="left"/>
        <w:rPr>
          <w:rFonts w:ascii="宋体" w:hAnsi="宋体" w:eastAsia="宋体"/>
          <w:b w:val="0"/>
          <w:sz w:val="22"/>
          <w:highlight w:val="none"/>
        </w:rPr>
      </w:pPr>
      <w:r>
        <w:rPr>
          <w:rFonts w:hint="eastAsia" w:ascii="宋体" w:hAnsi="宋体" w:eastAsia="宋体"/>
          <w:b w:val="0"/>
          <w:sz w:val="22"/>
          <w:highlight w:val="none"/>
          <w:lang w:val="zh-CN"/>
        </w:rPr>
        <w:t>注：1、</w:t>
      </w:r>
      <w:r>
        <w:rPr>
          <w:rFonts w:hint="eastAsia" w:ascii="宋体" w:hAnsi="宋体" w:eastAsia="宋体"/>
          <w:b w:val="0"/>
          <w:sz w:val="22"/>
          <w:highlight w:val="none"/>
        </w:rPr>
        <w:t>法定代表人（负责人、经营者)委托代理人参加适用。</w:t>
      </w:r>
    </w:p>
    <w:p>
      <w:pPr>
        <w:pStyle w:val="3"/>
        <w:keepNext w:val="0"/>
        <w:keepLines w:val="0"/>
        <w:pageBreakBefore w:val="0"/>
        <w:widowControl w:val="0"/>
        <w:kinsoku/>
        <w:wordWrap/>
        <w:overflowPunct/>
        <w:topLinePunct w:val="0"/>
        <w:bidi w:val="0"/>
        <w:spacing w:before="0" w:after="0" w:line="240" w:lineRule="auto"/>
        <w:ind w:firstLine="440" w:firstLineChars="200"/>
        <w:jc w:val="left"/>
        <w:rPr>
          <w:rFonts w:ascii="宋体" w:hAnsi="宋体" w:eastAsia="宋体"/>
          <w:b w:val="0"/>
          <w:sz w:val="22"/>
          <w:highlight w:val="none"/>
          <w:lang w:val="zh-CN"/>
        </w:rPr>
      </w:pPr>
      <w:r>
        <w:rPr>
          <w:rFonts w:hint="eastAsia" w:ascii="宋体" w:hAnsi="宋体" w:eastAsia="宋体"/>
          <w:b w:val="0"/>
          <w:sz w:val="22"/>
          <w:highlight w:val="none"/>
        </w:rPr>
        <w:t>2、</w:t>
      </w:r>
      <w:r>
        <w:rPr>
          <w:rFonts w:hint="eastAsia" w:ascii="宋体" w:hAnsi="宋体" w:eastAsia="宋体"/>
          <w:b w:val="0"/>
          <w:sz w:val="22"/>
          <w:highlight w:val="none"/>
          <w:lang w:val="zh-CN"/>
        </w:rPr>
        <w:t>须附法定代表人（负责人、经营者)和委托代理人身份证复印件（</w:t>
      </w:r>
      <w:r>
        <w:rPr>
          <w:rFonts w:ascii="宋体" w:hAnsi="宋体" w:eastAsia="宋体"/>
          <w:b w:val="0"/>
          <w:sz w:val="22"/>
          <w:highlight w:val="none"/>
          <w:lang w:val="zh-CN"/>
        </w:rPr>
        <w:t>身份证</w:t>
      </w:r>
      <w:r>
        <w:rPr>
          <w:rFonts w:hint="eastAsia" w:ascii="宋体" w:hAnsi="宋体" w:eastAsia="宋体"/>
          <w:b w:val="0"/>
          <w:sz w:val="22"/>
          <w:highlight w:val="none"/>
          <w:lang w:val="zh-CN"/>
        </w:rPr>
        <w:t>两面均应复印）。</w:t>
      </w:r>
    </w:p>
    <w:p>
      <w:pPr>
        <w:pStyle w:val="3"/>
        <w:keepNext w:val="0"/>
        <w:keepLines w:val="0"/>
        <w:pageBreakBefore w:val="0"/>
        <w:widowControl w:val="0"/>
        <w:kinsoku/>
        <w:wordWrap/>
        <w:overflowPunct/>
        <w:topLinePunct w:val="0"/>
        <w:bidi w:val="0"/>
        <w:spacing w:before="0" w:after="0" w:line="240" w:lineRule="auto"/>
        <w:ind w:firstLine="440" w:firstLineChars="200"/>
        <w:jc w:val="left"/>
        <w:rPr>
          <w:rFonts w:ascii="宋体" w:hAnsi="宋体" w:eastAsia="宋体"/>
          <w:b w:val="0"/>
          <w:sz w:val="22"/>
          <w:highlight w:val="none"/>
          <w:lang w:val="zh-CN"/>
        </w:rPr>
      </w:pPr>
      <w:r>
        <w:rPr>
          <w:rFonts w:hint="eastAsia" w:ascii="宋体" w:hAnsi="宋体" w:eastAsia="宋体"/>
          <w:b w:val="0"/>
          <w:sz w:val="22"/>
          <w:highlight w:val="none"/>
          <w:lang w:val="zh-CN"/>
        </w:rPr>
        <w:t>3、“法定代表人（负责人、经营者)身份证明”中的“负责人”是指：若分公司参与谈判时，分公司营业执照上的负责人；“法定代表人（负责人、经营者)身份证明”中的“经营者”是指：若个体工商户参与谈判时，营业执照上的经营者姓名。</w:t>
      </w:r>
    </w:p>
    <w:p>
      <w:pPr>
        <w:pStyle w:val="3"/>
        <w:keepNext w:val="0"/>
        <w:keepLines w:val="0"/>
        <w:pageBreakBefore w:val="0"/>
        <w:widowControl w:val="0"/>
        <w:kinsoku/>
        <w:wordWrap/>
        <w:overflowPunct/>
        <w:topLinePunct w:val="0"/>
        <w:bidi w:val="0"/>
        <w:spacing w:before="0" w:after="0" w:line="240" w:lineRule="auto"/>
        <w:jc w:val="center"/>
        <w:rPr>
          <w:rFonts w:hint="eastAsia" w:asciiTheme="majorEastAsia" w:hAnsiTheme="majorEastAsia" w:eastAsiaTheme="majorEastAsia"/>
          <w:sz w:val="28"/>
          <w:highlight w:val="none"/>
        </w:rPr>
      </w:pPr>
    </w:p>
    <w:p>
      <w:pPr>
        <w:pStyle w:val="3"/>
        <w:keepNext w:val="0"/>
        <w:keepLines w:val="0"/>
        <w:pageBreakBefore w:val="0"/>
        <w:widowControl w:val="0"/>
        <w:kinsoku/>
        <w:wordWrap/>
        <w:overflowPunct/>
        <w:topLinePunct w:val="0"/>
        <w:bidi w:val="0"/>
        <w:spacing w:before="0" w:after="0" w:line="240" w:lineRule="auto"/>
        <w:jc w:val="center"/>
        <w:rPr>
          <w:rFonts w:ascii="宋体" w:hAnsi="宋体" w:eastAsia="宋体"/>
          <w:b w:val="0"/>
          <w:sz w:val="22"/>
          <w:highlight w:val="none"/>
          <w:lang w:val="zh-CN"/>
        </w:rPr>
      </w:pPr>
      <w:r>
        <w:rPr>
          <w:rFonts w:hint="eastAsia" w:asciiTheme="majorEastAsia" w:hAnsiTheme="majorEastAsia" w:eastAsiaTheme="majorEastAsia"/>
          <w:sz w:val="28"/>
          <w:highlight w:val="none"/>
        </w:rPr>
        <w:t>（四）承诺函</w:t>
      </w:r>
    </w:p>
    <w:p>
      <w:pPr>
        <w:keepNext w:val="0"/>
        <w:keepLines w:val="0"/>
        <w:pageBreakBefore w:val="0"/>
        <w:widowControl w:val="0"/>
        <w:kinsoku/>
        <w:wordWrap/>
        <w:overflowPunct/>
        <w:topLinePunct w:val="0"/>
        <w:bidi w:val="0"/>
        <w:spacing w:line="400" w:lineRule="exact"/>
        <w:jc w:val="left"/>
        <w:rPr>
          <w:rFonts w:ascii="宋体" w:hAnsi="宋体" w:eastAsia="宋体"/>
          <w:sz w:val="24"/>
          <w:highlight w:val="none"/>
        </w:rPr>
      </w:pPr>
      <w:r>
        <w:rPr>
          <w:rFonts w:hint="eastAsia" w:ascii="宋体" w:hAnsi="宋体" w:eastAsia="宋体"/>
          <w:sz w:val="24"/>
          <w:highlight w:val="none"/>
        </w:rPr>
        <w:t>德阳市精神卫生中心：</w:t>
      </w:r>
    </w:p>
    <w:p>
      <w:pPr>
        <w:keepNext w:val="0"/>
        <w:keepLines w:val="0"/>
        <w:pageBreakBefore w:val="0"/>
        <w:widowControl w:val="0"/>
        <w:kinsoku/>
        <w:wordWrap/>
        <w:overflowPunct/>
        <w:topLinePunct w:val="0"/>
        <w:bidi w:val="0"/>
        <w:spacing w:line="400" w:lineRule="exact"/>
        <w:ind w:firstLine="480" w:firstLineChars="200"/>
        <w:jc w:val="left"/>
        <w:rPr>
          <w:rFonts w:ascii="宋体" w:hAnsi="宋体" w:eastAsia="宋体"/>
          <w:sz w:val="24"/>
          <w:highlight w:val="none"/>
        </w:rPr>
      </w:pPr>
      <w:r>
        <w:rPr>
          <w:rFonts w:hint="eastAsia" w:ascii="宋体" w:hAnsi="宋体" w:eastAsia="宋体"/>
          <w:sz w:val="24"/>
          <w:highlight w:val="none"/>
        </w:rPr>
        <w:t>我公司作为本次采购项目的供应商，根据谈判文件要求，现郑重承诺如下：</w:t>
      </w:r>
    </w:p>
    <w:p>
      <w:pPr>
        <w:keepNext w:val="0"/>
        <w:keepLines w:val="0"/>
        <w:pageBreakBefore w:val="0"/>
        <w:widowControl w:val="0"/>
        <w:kinsoku/>
        <w:wordWrap/>
        <w:overflowPunct/>
        <w:topLinePunct w:val="0"/>
        <w:bidi w:val="0"/>
        <w:spacing w:line="400" w:lineRule="exact"/>
        <w:ind w:firstLine="480" w:firstLineChars="200"/>
        <w:jc w:val="left"/>
        <w:rPr>
          <w:rFonts w:ascii="宋体" w:hAnsi="宋体" w:eastAsia="宋体"/>
          <w:sz w:val="24"/>
          <w:highlight w:val="none"/>
        </w:rPr>
      </w:pPr>
      <w:r>
        <w:rPr>
          <w:rFonts w:hint="eastAsia" w:ascii="宋体" w:hAnsi="宋体" w:eastAsia="宋体"/>
          <w:sz w:val="24"/>
          <w:highlight w:val="none"/>
        </w:rPr>
        <w:t>一、具备本项目规定的条件：</w:t>
      </w:r>
    </w:p>
    <w:p>
      <w:pPr>
        <w:keepNext w:val="0"/>
        <w:keepLines w:val="0"/>
        <w:pageBreakBefore w:val="0"/>
        <w:widowControl w:val="0"/>
        <w:kinsoku/>
        <w:wordWrap/>
        <w:overflowPunct/>
        <w:topLinePunct w:val="0"/>
        <w:bidi w:val="0"/>
        <w:spacing w:line="400" w:lineRule="exact"/>
        <w:ind w:firstLine="480" w:firstLineChars="200"/>
        <w:jc w:val="left"/>
        <w:rPr>
          <w:rFonts w:ascii="宋体" w:hAnsi="宋体" w:eastAsia="宋体"/>
          <w:sz w:val="24"/>
          <w:highlight w:val="none"/>
        </w:rPr>
      </w:pPr>
      <w:r>
        <w:rPr>
          <w:rFonts w:hint="eastAsia" w:ascii="宋体" w:hAnsi="宋体" w:eastAsia="宋体"/>
          <w:sz w:val="24"/>
          <w:highlight w:val="none"/>
        </w:rPr>
        <w:t>1、具有独立承担民事责任的能力；</w:t>
      </w:r>
    </w:p>
    <w:p>
      <w:pPr>
        <w:keepNext w:val="0"/>
        <w:keepLines w:val="0"/>
        <w:pageBreakBefore w:val="0"/>
        <w:widowControl w:val="0"/>
        <w:kinsoku/>
        <w:wordWrap/>
        <w:overflowPunct/>
        <w:topLinePunct w:val="0"/>
        <w:bidi w:val="0"/>
        <w:spacing w:line="400" w:lineRule="exact"/>
        <w:ind w:firstLine="480" w:firstLineChars="200"/>
        <w:jc w:val="left"/>
        <w:rPr>
          <w:rFonts w:ascii="宋体" w:hAnsi="宋体" w:eastAsia="宋体"/>
          <w:sz w:val="24"/>
          <w:highlight w:val="none"/>
        </w:rPr>
      </w:pPr>
      <w:r>
        <w:rPr>
          <w:rFonts w:hint="eastAsia" w:ascii="宋体" w:hAnsi="宋体" w:eastAsia="宋体"/>
          <w:sz w:val="24"/>
          <w:highlight w:val="none"/>
        </w:rPr>
        <w:t>2、具有良好的商业信誉和健全的财务会计制度；</w:t>
      </w:r>
    </w:p>
    <w:p>
      <w:pPr>
        <w:keepNext w:val="0"/>
        <w:keepLines w:val="0"/>
        <w:pageBreakBefore w:val="0"/>
        <w:widowControl w:val="0"/>
        <w:kinsoku/>
        <w:wordWrap/>
        <w:overflowPunct/>
        <w:topLinePunct w:val="0"/>
        <w:bidi w:val="0"/>
        <w:spacing w:line="400" w:lineRule="exact"/>
        <w:ind w:firstLine="480" w:firstLineChars="200"/>
        <w:jc w:val="left"/>
        <w:rPr>
          <w:rFonts w:ascii="宋体" w:hAnsi="宋体" w:eastAsia="宋体"/>
          <w:sz w:val="24"/>
          <w:highlight w:val="none"/>
        </w:rPr>
      </w:pPr>
      <w:r>
        <w:rPr>
          <w:rFonts w:hint="eastAsia" w:ascii="宋体" w:hAnsi="宋体" w:eastAsia="宋体"/>
          <w:sz w:val="24"/>
          <w:highlight w:val="none"/>
        </w:rPr>
        <w:t>3、具有履行合同所必需的设备和专业技术能力；</w:t>
      </w:r>
    </w:p>
    <w:p>
      <w:pPr>
        <w:keepNext w:val="0"/>
        <w:keepLines w:val="0"/>
        <w:pageBreakBefore w:val="0"/>
        <w:widowControl w:val="0"/>
        <w:kinsoku/>
        <w:wordWrap/>
        <w:overflowPunct/>
        <w:topLinePunct w:val="0"/>
        <w:bidi w:val="0"/>
        <w:spacing w:line="400" w:lineRule="exact"/>
        <w:ind w:firstLine="480" w:firstLineChars="200"/>
        <w:jc w:val="left"/>
        <w:rPr>
          <w:rFonts w:ascii="宋体" w:hAnsi="宋体" w:eastAsia="宋体"/>
          <w:sz w:val="24"/>
          <w:highlight w:val="none"/>
        </w:rPr>
      </w:pPr>
      <w:r>
        <w:rPr>
          <w:rFonts w:hint="eastAsia" w:ascii="宋体" w:hAnsi="宋体" w:eastAsia="宋体"/>
          <w:sz w:val="24"/>
          <w:highlight w:val="none"/>
        </w:rPr>
        <w:t>4、具有依法缴纳税收和社会保障资金的良好记录；</w:t>
      </w:r>
    </w:p>
    <w:p>
      <w:pPr>
        <w:keepNext w:val="0"/>
        <w:keepLines w:val="0"/>
        <w:pageBreakBefore w:val="0"/>
        <w:widowControl w:val="0"/>
        <w:kinsoku/>
        <w:wordWrap/>
        <w:overflowPunct/>
        <w:topLinePunct w:val="0"/>
        <w:bidi w:val="0"/>
        <w:spacing w:line="400" w:lineRule="exact"/>
        <w:ind w:firstLine="480" w:firstLineChars="200"/>
        <w:jc w:val="left"/>
        <w:rPr>
          <w:rFonts w:hint="eastAsia" w:ascii="宋体" w:hAnsi="宋体" w:eastAsia="宋体"/>
          <w:sz w:val="24"/>
          <w:highlight w:val="none"/>
        </w:rPr>
      </w:pPr>
      <w:r>
        <w:rPr>
          <w:rFonts w:hint="eastAsia" w:ascii="宋体" w:hAnsi="宋体" w:eastAsia="宋体"/>
          <w:sz w:val="24"/>
          <w:highlight w:val="none"/>
        </w:rPr>
        <w:t>5、参加本次政购活动前三年内，在经营活动中没有重大违法记录；</w:t>
      </w:r>
    </w:p>
    <w:p>
      <w:pPr>
        <w:keepNext w:val="0"/>
        <w:keepLines w:val="0"/>
        <w:pageBreakBefore w:val="0"/>
        <w:widowControl w:val="0"/>
        <w:kinsoku/>
        <w:wordWrap/>
        <w:overflowPunct/>
        <w:topLinePunct w:val="0"/>
        <w:bidi w:val="0"/>
        <w:spacing w:line="400" w:lineRule="exact"/>
        <w:ind w:firstLine="480" w:firstLineChars="200"/>
        <w:jc w:val="left"/>
        <w:rPr>
          <w:rFonts w:hint="eastAsia" w:ascii="宋体" w:hAnsi="宋体" w:eastAsiaTheme="minorEastAsia"/>
          <w:sz w:val="24"/>
          <w:highlight w:val="none"/>
          <w:lang w:val="en-US" w:eastAsia="zh-CN"/>
        </w:rPr>
      </w:pPr>
      <w:r>
        <w:rPr>
          <w:rFonts w:hint="eastAsia" w:ascii="宋体" w:hAnsi="宋体" w:eastAsia="宋体"/>
          <w:sz w:val="24"/>
          <w:highlight w:val="none"/>
          <w:lang w:val="en-US" w:eastAsia="zh-CN"/>
        </w:rPr>
        <w:t>6、</w:t>
      </w:r>
      <w:r>
        <w:rPr>
          <w:rFonts w:hint="eastAsia" w:ascii="宋体" w:hAnsi="宋体"/>
          <w:sz w:val="24"/>
          <w:highlight w:val="none"/>
        </w:rPr>
        <w:t>法律、行政法规规定的其他条件</w:t>
      </w:r>
      <w:r>
        <w:rPr>
          <w:rFonts w:hint="eastAsia" w:ascii="宋体" w:hAnsi="宋体"/>
          <w:sz w:val="24"/>
          <w:highlight w:val="none"/>
          <w:lang w:eastAsia="zh-CN"/>
        </w:rPr>
        <w:t>。</w:t>
      </w:r>
    </w:p>
    <w:p>
      <w:pPr>
        <w:keepNext w:val="0"/>
        <w:keepLines w:val="0"/>
        <w:pageBreakBefore w:val="0"/>
        <w:widowControl w:val="0"/>
        <w:kinsoku/>
        <w:wordWrap/>
        <w:overflowPunct/>
        <w:topLinePunct w:val="0"/>
        <w:bidi w:val="0"/>
        <w:spacing w:line="400" w:lineRule="exact"/>
        <w:ind w:firstLine="480" w:firstLineChars="200"/>
        <w:jc w:val="left"/>
        <w:rPr>
          <w:rFonts w:ascii="宋体" w:hAnsi="宋体" w:eastAsia="宋体"/>
          <w:sz w:val="24"/>
          <w:highlight w:val="none"/>
        </w:rPr>
      </w:pPr>
      <w:r>
        <w:rPr>
          <w:rFonts w:hint="eastAsia" w:ascii="宋体" w:hAnsi="宋体" w:eastAsia="宋体"/>
          <w:sz w:val="24"/>
          <w:highlight w:val="none"/>
        </w:rPr>
        <w:t>二、完全接受和满足本邀请谈判文件中规定的实质性要求，如对谈判文件有异议，已经在递交响应文件截止时间届满前依法进行维权救济，不存在对谈判文件有异议的同时又参加谈判以求侥幸成交或者为实现其他非法目的的行为。</w:t>
      </w:r>
    </w:p>
    <w:p>
      <w:pPr>
        <w:keepNext w:val="0"/>
        <w:keepLines w:val="0"/>
        <w:pageBreakBefore w:val="0"/>
        <w:widowControl w:val="0"/>
        <w:kinsoku/>
        <w:wordWrap/>
        <w:overflowPunct/>
        <w:topLinePunct w:val="0"/>
        <w:bidi w:val="0"/>
        <w:spacing w:line="400" w:lineRule="exact"/>
        <w:ind w:firstLine="480" w:firstLineChars="200"/>
        <w:jc w:val="left"/>
        <w:rPr>
          <w:rFonts w:ascii="宋体" w:hAnsi="宋体" w:eastAsia="宋体"/>
          <w:sz w:val="24"/>
          <w:highlight w:val="none"/>
        </w:rPr>
      </w:pPr>
      <w:r>
        <w:rPr>
          <w:rFonts w:hint="eastAsia" w:ascii="宋体" w:hAnsi="宋体" w:eastAsia="宋体"/>
          <w:sz w:val="24"/>
          <w:highlight w:val="none"/>
        </w:rPr>
        <w:t>三、在参加本次采购活动中，不存在与单位负责人为同一人或者存在直接控股、管理关系的其他供应商参与同一合同项下的采购活动的行为。</w:t>
      </w:r>
    </w:p>
    <w:p>
      <w:pPr>
        <w:keepNext w:val="0"/>
        <w:keepLines w:val="0"/>
        <w:pageBreakBefore w:val="0"/>
        <w:widowControl w:val="0"/>
        <w:kinsoku/>
        <w:wordWrap/>
        <w:overflowPunct/>
        <w:topLinePunct w:val="0"/>
        <w:bidi w:val="0"/>
        <w:spacing w:line="400" w:lineRule="exact"/>
        <w:ind w:firstLine="480" w:firstLineChars="200"/>
        <w:jc w:val="left"/>
        <w:rPr>
          <w:rFonts w:ascii="宋体" w:hAnsi="宋体" w:eastAsia="宋体"/>
          <w:sz w:val="24"/>
          <w:highlight w:val="none"/>
        </w:rPr>
      </w:pPr>
      <w:r>
        <w:rPr>
          <w:rFonts w:hint="eastAsia" w:ascii="宋体" w:hAnsi="宋体" w:eastAsia="宋体"/>
          <w:sz w:val="24"/>
          <w:highlight w:val="none"/>
        </w:rPr>
        <w:t>四、在参加本次采购活动中，不存在和其他供应商在同一合同项下的采购项目中，同时委托同一个自然人、同一家庭的人员、同一单位的人员作为代理人的行为。</w:t>
      </w:r>
    </w:p>
    <w:p>
      <w:pPr>
        <w:keepNext w:val="0"/>
        <w:keepLines w:val="0"/>
        <w:pageBreakBefore w:val="0"/>
        <w:widowControl w:val="0"/>
        <w:kinsoku/>
        <w:wordWrap/>
        <w:overflowPunct/>
        <w:topLinePunct w:val="0"/>
        <w:bidi w:val="0"/>
        <w:spacing w:line="400" w:lineRule="exact"/>
        <w:ind w:firstLine="480" w:firstLineChars="200"/>
        <w:jc w:val="left"/>
        <w:rPr>
          <w:rFonts w:ascii="宋体" w:hAnsi="宋体" w:eastAsia="宋体"/>
          <w:sz w:val="24"/>
          <w:highlight w:val="none"/>
        </w:rPr>
      </w:pPr>
      <w:r>
        <w:rPr>
          <w:rFonts w:hint="eastAsia" w:ascii="宋体" w:hAnsi="宋体" w:eastAsia="宋体"/>
          <w:sz w:val="24"/>
          <w:highlight w:val="none"/>
        </w:rPr>
        <w:t>五、响应文件中提供的任何资料和响应承诺情况都是真实的、有效的、合法的。</w:t>
      </w:r>
    </w:p>
    <w:p>
      <w:pPr>
        <w:keepNext w:val="0"/>
        <w:keepLines w:val="0"/>
        <w:pageBreakBefore w:val="0"/>
        <w:widowControl w:val="0"/>
        <w:kinsoku/>
        <w:wordWrap/>
        <w:overflowPunct/>
        <w:topLinePunct w:val="0"/>
        <w:bidi w:val="0"/>
        <w:spacing w:line="400" w:lineRule="exact"/>
        <w:ind w:firstLine="480" w:firstLineChars="200"/>
        <w:jc w:val="left"/>
        <w:rPr>
          <w:rFonts w:ascii="宋体" w:hAnsi="宋体" w:eastAsia="宋体"/>
          <w:sz w:val="24"/>
          <w:highlight w:val="none"/>
        </w:rPr>
      </w:pPr>
      <w:r>
        <w:rPr>
          <w:rFonts w:hint="eastAsia" w:ascii="宋体" w:hAnsi="宋体" w:eastAsia="宋体"/>
          <w:sz w:val="24"/>
          <w:highlight w:val="none"/>
        </w:rPr>
        <w:t>六、如果有记入诚信档案的失信行为，将在响应文件中全面如实反映。</w:t>
      </w:r>
    </w:p>
    <w:p>
      <w:pPr>
        <w:keepNext w:val="0"/>
        <w:keepLines w:val="0"/>
        <w:pageBreakBefore w:val="0"/>
        <w:widowControl w:val="0"/>
        <w:kinsoku/>
        <w:wordWrap/>
        <w:overflowPunct/>
        <w:topLinePunct w:val="0"/>
        <w:bidi w:val="0"/>
        <w:spacing w:line="400" w:lineRule="exact"/>
        <w:ind w:firstLine="480" w:firstLineChars="200"/>
        <w:jc w:val="left"/>
        <w:rPr>
          <w:rFonts w:ascii="宋体" w:hAnsi="宋体" w:eastAsia="宋体"/>
          <w:sz w:val="24"/>
          <w:highlight w:val="none"/>
        </w:rPr>
      </w:pPr>
      <w:r>
        <w:rPr>
          <w:rFonts w:hint="eastAsia" w:ascii="宋体" w:hAnsi="宋体" w:eastAsia="宋体"/>
          <w:sz w:val="24"/>
          <w:highlight w:val="none"/>
        </w:rPr>
        <w:t>供应商记入诚信档案的且在有效期内的失信行为有</w:t>
      </w:r>
      <w:r>
        <w:rPr>
          <w:rFonts w:hint="eastAsia" w:ascii="宋体" w:hAnsi="宋体" w:eastAsia="宋体"/>
          <w:sz w:val="24"/>
          <w:highlight w:val="none"/>
          <w:u w:val="single"/>
        </w:rPr>
        <w:t xml:space="preserve">    </w:t>
      </w:r>
      <w:r>
        <w:rPr>
          <w:rFonts w:hint="eastAsia" w:ascii="宋体" w:hAnsi="宋体" w:eastAsia="宋体"/>
          <w:sz w:val="24"/>
          <w:highlight w:val="none"/>
        </w:rPr>
        <w:t>次。供应商截止至采购公告发布之日前一个工作日   （是/否）被列入“信用中国”网站(www.creditchina.gov.cn)、“中国政府采购网”网站(www.ccgp.gov.cn)、“四川政府采购”网站(曝光台)( www.ccgp-sichuan.gov.cn)中任一网站的失信被执行人名单或重大税收违法案件当事人名单或政府采购严重违法失信行为记录名单。</w:t>
      </w:r>
    </w:p>
    <w:p>
      <w:pPr>
        <w:keepNext w:val="0"/>
        <w:keepLines w:val="0"/>
        <w:pageBreakBefore w:val="0"/>
        <w:widowControl w:val="0"/>
        <w:kinsoku/>
        <w:wordWrap/>
        <w:overflowPunct/>
        <w:topLinePunct w:val="0"/>
        <w:bidi w:val="0"/>
        <w:spacing w:line="400" w:lineRule="exact"/>
        <w:ind w:firstLine="480" w:firstLineChars="200"/>
        <w:jc w:val="left"/>
        <w:rPr>
          <w:rFonts w:ascii="宋体" w:hAnsi="宋体" w:eastAsia="宋体"/>
          <w:sz w:val="24"/>
          <w:highlight w:val="none"/>
        </w:rPr>
      </w:pPr>
      <w:r>
        <w:rPr>
          <w:rFonts w:hint="eastAsia" w:ascii="宋体" w:hAnsi="宋体" w:eastAsia="宋体"/>
          <w:sz w:val="24"/>
          <w:highlight w:val="none"/>
        </w:rPr>
        <w:t>本公司对上述承诺的内容事项真实性负责。如经查实上述承诺的内容事项存在虚假，我公司愿意接受以提供虚假材料谋取成交的法律责任。</w:t>
      </w:r>
    </w:p>
    <w:p>
      <w:pPr>
        <w:keepNext w:val="0"/>
        <w:keepLines w:val="0"/>
        <w:pageBreakBefore w:val="0"/>
        <w:widowControl w:val="0"/>
        <w:kinsoku/>
        <w:wordWrap/>
        <w:overflowPunct/>
        <w:topLinePunct w:val="0"/>
        <w:bidi w:val="0"/>
        <w:spacing w:line="400" w:lineRule="exact"/>
        <w:ind w:firstLine="480" w:firstLineChars="200"/>
        <w:jc w:val="left"/>
        <w:rPr>
          <w:rFonts w:ascii="宋体" w:hAnsi="宋体" w:eastAsia="宋体"/>
          <w:sz w:val="24"/>
          <w:highlight w:val="none"/>
        </w:rPr>
      </w:pPr>
      <w:r>
        <w:rPr>
          <w:rFonts w:hint="eastAsia" w:ascii="宋体" w:hAnsi="宋体" w:eastAsia="宋体"/>
          <w:sz w:val="24"/>
          <w:highlight w:val="none"/>
        </w:rPr>
        <w:t>法定代表人（负责人、经营者）签字或者加盖个人私章：XXXX</w:t>
      </w:r>
    </w:p>
    <w:p>
      <w:pPr>
        <w:keepNext w:val="0"/>
        <w:keepLines w:val="0"/>
        <w:pageBreakBefore w:val="0"/>
        <w:widowControl w:val="0"/>
        <w:kinsoku/>
        <w:wordWrap/>
        <w:overflowPunct/>
        <w:topLinePunct w:val="0"/>
        <w:bidi w:val="0"/>
        <w:spacing w:line="400" w:lineRule="exact"/>
        <w:ind w:firstLine="480" w:firstLineChars="200"/>
        <w:jc w:val="left"/>
        <w:rPr>
          <w:rFonts w:ascii="宋体" w:hAnsi="宋体" w:eastAsia="宋体"/>
          <w:sz w:val="24"/>
          <w:highlight w:val="none"/>
        </w:rPr>
      </w:pPr>
      <w:r>
        <w:rPr>
          <w:rFonts w:hint="eastAsia" w:ascii="宋体" w:hAnsi="宋体" w:eastAsia="宋体"/>
          <w:sz w:val="24"/>
          <w:highlight w:val="none"/>
        </w:rPr>
        <w:t>授权代表签字：XXXX</w:t>
      </w:r>
    </w:p>
    <w:p>
      <w:pPr>
        <w:keepNext w:val="0"/>
        <w:keepLines w:val="0"/>
        <w:pageBreakBefore w:val="0"/>
        <w:widowControl w:val="0"/>
        <w:kinsoku/>
        <w:wordWrap/>
        <w:overflowPunct/>
        <w:topLinePunct w:val="0"/>
        <w:bidi w:val="0"/>
        <w:spacing w:line="400" w:lineRule="exact"/>
        <w:ind w:firstLine="480" w:firstLineChars="200"/>
        <w:jc w:val="left"/>
        <w:rPr>
          <w:rFonts w:ascii="宋体" w:hAnsi="宋体" w:eastAsia="宋体"/>
          <w:sz w:val="24"/>
          <w:highlight w:val="none"/>
        </w:rPr>
      </w:pPr>
      <w:r>
        <w:rPr>
          <w:rFonts w:hint="eastAsia" w:ascii="宋体" w:hAnsi="宋体" w:eastAsia="宋体"/>
          <w:sz w:val="24"/>
          <w:highlight w:val="none"/>
        </w:rPr>
        <w:t>供应商名称：XXXX（盖章）</w:t>
      </w:r>
    </w:p>
    <w:p>
      <w:pPr>
        <w:keepNext w:val="0"/>
        <w:keepLines w:val="0"/>
        <w:pageBreakBefore w:val="0"/>
        <w:widowControl w:val="0"/>
        <w:kinsoku/>
        <w:wordWrap/>
        <w:overflowPunct/>
        <w:topLinePunct w:val="0"/>
        <w:bidi w:val="0"/>
        <w:spacing w:line="400" w:lineRule="exact"/>
        <w:ind w:firstLine="480" w:firstLineChars="200"/>
        <w:jc w:val="left"/>
        <w:rPr>
          <w:rFonts w:hint="eastAsia" w:asciiTheme="majorEastAsia" w:hAnsiTheme="majorEastAsia" w:eastAsiaTheme="majorEastAsia"/>
          <w:b/>
          <w:sz w:val="28"/>
          <w:szCs w:val="28"/>
          <w:highlight w:val="none"/>
        </w:rPr>
      </w:pPr>
      <w:r>
        <w:rPr>
          <w:rFonts w:hint="eastAsia" w:ascii="宋体" w:hAnsi="宋体" w:eastAsia="宋体"/>
          <w:sz w:val="24"/>
          <w:highlight w:val="none"/>
        </w:rPr>
        <w:t>日    期：XXX年XXX月XXX日</w:t>
      </w:r>
    </w:p>
    <w:p>
      <w:pPr>
        <w:keepNext w:val="0"/>
        <w:keepLines w:val="0"/>
        <w:pageBreakBefore w:val="0"/>
        <w:widowControl w:val="0"/>
        <w:kinsoku/>
        <w:wordWrap/>
        <w:overflowPunct/>
        <w:topLinePunct w:val="0"/>
        <w:bidi w:val="0"/>
        <w:jc w:val="center"/>
        <w:rPr>
          <w:rFonts w:hint="eastAsia" w:cs="Times New Roman" w:asciiTheme="majorEastAsia" w:hAnsiTheme="majorEastAsia" w:eastAsiaTheme="majorEastAsia"/>
          <w:b/>
          <w:bCs/>
          <w:kern w:val="2"/>
          <w:sz w:val="28"/>
          <w:szCs w:val="32"/>
          <w:highlight w:val="none"/>
          <w:lang w:val="en-US" w:eastAsia="zh-CN" w:bidi="ar-SA"/>
        </w:rPr>
      </w:pPr>
    </w:p>
    <w:p>
      <w:pPr>
        <w:keepNext w:val="0"/>
        <w:keepLines w:val="0"/>
        <w:pageBreakBefore w:val="0"/>
        <w:widowControl w:val="0"/>
        <w:kinsoku/>
        <w:wordWrap/>
        <w:overflowPunct/>
        <w:topLinePunct w:val="0"/>
        <w:bidi w:val="0"/>
        <w:jc w:val="center"/>
        <w:rPr>
          <w:rFonts w:hint="eastAsia" w:cs="Times New Roman" w:asciiTheme="majorEastAsia" w:hAnsiTheme="majorEastAsia" w:eastAsiaTheme="majorEastAsia"/>
          <w:b/>
          <w:bCs/>
          <w:kern w:val="2"/>
          <w:sz w:val="28"/>
          <w:szCs w:val="32"/>
          <w:highlight w:val="none"/>
          <w:lang w:val="en-US" w:eastAsia="zh-CN" w:bidi="ar-SA"/>
        </w:rPr>
      </w:pPr>
      <w:r>
        <w:rPr>
          <w:rFonts w:hint="eastAsia" w:cs="Times New Roman" w:asciiTheme="majorEastAsia" w:hAnsiTheme="majorEastAsia" w:eastAsiaTheme="majorEastAsia"/>
          <w:b/>
          <w:bCs/>
          <w:kern w:val="2"/>
          <w:sz w:val="28"/>
          <w:szCs w:val="32"/>
          <w:highlight w:val="none"/>
          <w:lang w:val="en-US" w:eastAsia="zh-CN" w:bidi="ar-SA"/>
        </w:rPr>
        <w:t>（五）报价表</w:t>
      </w:r>
    </w:p>
    <w:p>
      <w:pPr>
        <w:keepNext w:val="0"/>
        <w:keepLines w:val="0"/>
        <w:pageBreakBefore w:val="0"/>
        <w:widowControl w:val="0"/>
        <w:kinsoku/>
        <w:wordWrap/>
        <w:overflowPunct/>
        <w:topLinePunct w:val="0"/>
        <w:bidi w:val="0"/>
        <w:spacing w:line="400" w:lineRule="exact"/>
        <w:ind w:firstLine="281" w:firstLineChars="100"/>
        <w:jc w:val="center"/>
        <w:rPr>
          <w:rFonts w:hint="eastAsia" w:ascii="宋体" w:hAnsi="宋体" w:eastAsia="宋体" w:cs="宋体"/>
          <w:color w:val="auto"/>
          <w:sz w:val="24"/>
          <w:highlight w:val="none"/>
        </w:rPr>
      </w:pPr>
      <w:r>
        <w:rPr>
          <w:rFonts w:hint="eastAsia" w:asciiTheme="majorEastAsia" w:hAnsiTheme="majorEastAsia" w:eastAsiaTheme="majorEastAsia"/>
          <w:b/>
          <w:sz w:val="28"/>
          <w:szCs w:val="28"/>
          <w:highlight w:val="none"/>
        </w:rPr>
        <w:t>（样本，格式自拟，报价包含采购文件要求所有项目）</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6"/>
        <w:gridCol w:w="2312"/>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96" w:type="dxa"/>
            <w:vAlign w:val="center"/>
          </w:tcPr>
          <w:p>
            <w:pPr>
              <w:pStyle w:val="48"/>
              <w:jc w:val="center"/>
              <w:rPr>
                <w:rFonts w:hint="eastAsia" w:ascii="宋体" w:hAnsi="宋体" w:eastAsia="宋体" w:cs="宋体"/>
                <w:sz w:val="24"/>
                <w:szCs w:val="24"/>
                <w:lang w:val="en-US" w:eastAsia="zh-Hans"/>
              </w:rPr>
            </w:pPr>
            <w:r>
              <w:rPr>
                <w:rFonts w:hint="eastAsia" w:ascii="宋体" w:hAnsi="宋体" w:eastAsia="宋体" w:cs="宋体"/>
                <w:sz w:val="24"/>
                <w:szCs w:val="24"/>
              </w:rPr>
              <w:t>序号</w:t>
            </w:r>
          </w:p>
        </w:tc>
        <w:tc>
          <w:tcPr>
            <w:tcW w:w="2312" w:type="dxa"/>
            <w:vAlign w:val="center"/>
          </w:tcPr>
          <w:p>
            <w:pPr>
              <w:pStyle w:val="48"/>
              <w:jc w:val="center"/>
              <w:rPr>
                <w:rFonts w:hint="eastAsia" w:ascii="宋体" w:hAnsi="宋体" w:eastAsia="宋体" w:cs="宋体"/>
                <w:sz w:val="24"/>
                <w:szCs w:val="24"/>
                <w:lang w:val="en-US" w:eastAsia="zh-Hans"/>
              </w:rPr>
            </w:pPr>
            <w:r>
              <w:rPr>
                <w:rFonts w:hint="eastAsia" w:ascii="宋体" w:hAnsi="宋体" w:eastAsia="宋体" w:cs="宋体"/>
                <w:sz w:val="24"/>
                <w:szCs w:val="24"/>
              </w:rPr>
              <w:t>报价内容</w:t>
            </w:r>
          </w:p>
        </w:tc>
        <w:tc>
          <w:tcPr>
            <w:tcW w:w="1704" w:type="dxa"/>
            <w:vAlign w:val="center"/>
          </w:tcPr>
          <w:p>
            <w:pPr>
              <w:pStyle w:val="48"/>
              <w:jc w:val="center"/>
              <w:rPr>
                <w:rFonts w:hint="eastAsia" w:ascii="宋体" w:hAnsi="宋体" w:eastAsia="宋体" w:cs="宋体"/>
                <w:sz w:val="24"/>
                <w:szCs w:val="24"/>
                <w:lang w:val="en-US" w:eastAsia="zh-Hans"/>
              </w:rPr>
            </w:pPr>
            <w:r>
              <w:rPr>
                <w:rFonts w:hint="eastAsia" w:ascii="宋体" w:hAnsi="宋体" w:eastAsia="宋体" w:cs="宋体"/>
                <w:sz w:val="24"/>
                <w:szCs w:val="24"/>
              </w:rPr>
              <w:t>数量</w:t>
            </w:r>
          </w:p>
        </w:tc>
        <w:tc>
          <w:tcPr>
            <w:tcW w:w="1705" w:type="dxa"/>
            <w:vAlign w:val="center"/>
          </w:tcPr>
          <w:p>
            <w:pPr>
              <w:pStyle w:val="4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最高限价</w:t>
            </w:r>
          </w:p>
        </w:tc>
        <w:tc>
          <w:tcPr>
            <w:tcW w:w="1705" w:type="dxa"/>
            <w:vAlign w:val="center"/>
          </w:tcPr>
          <w:p>
            <w:pPr>
              <w:pStyle w:val="4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9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2312" w:type="dxa"/>
            <w:vAlign w:val="center"/>
          </w:tcPr>
          <w:p>
            <w:pPr>
              <w:pStyle w:val="48"/>
              <w:jc w:val="center"/>
              <w:rPr>
                <w:rFonts w:hint="eastAsia" w:ascii="宋体" w:hAnsi="宋体" w:eastAsia="宋体" w:cs="宋体"/>
                <w:sz w:val="24"/>
                <w:szCs w:val="24"/>
                <w:lang w:val="en-US" w:eastAsia="zh-Hans"/>
              </w:rPr>
            </w:pPr>
            <w:r>
              <w:rPr>
                <w:rFonts w:hint="eastAsia" w:ascii="宋体" w:hAnsi="宋体" w:eastAsia="宋体" w:cs="宋体"/>
                <w:sz w:val="24"/>
                <w:szCs w:val="24"/>
                <w:lang w:eastAsia="zh-CN"/>
              </w:rPr>
              <w:t>2025年</w:t>
            </w:r>
            <w:r>
              <w:rPr>
                <w:rFonts w:hint="eastAsia" w:ascii="宋体" w:hAnsi="宋体" w:eastAsia="宋体" w:cs="宋体"/>
                <w:sz w:val="24"/>
                <w:szCs w:val="24"/>
              </w:rPr>
              <w:t>网络安全服务</w:t>
            </w:r>
          </w:p>
        </w:tc>
        <w:tc>
          <w:tcPr>
            <w:tcW w:w="1704" w:type="dxa"/>
            <w:vAlign w:val="center"/>
          </w:tcPr>
          <w:p>
            <w:pPr>
              <w:pStyle w:val="48"/>
              <w:jc w:val="center"/>
              <w:rPr>
                <w:rFonts w:hint="eastAsia" w:ascii="宋体" w:hAnsi="宋体" w:eastAsia="宋体" w:cs="宋体"/>
                <w:sz w:val="24"/>
                <w:szCs w:val="24"/>
                <w:lang w:val="en-US" w:eastAsia="zh-Hans"/>
              </w:rPr>
            </w:pPr>
            <w:r>
              <w:rPr>
                <w:rFonts w:hint="eastAsia" w:ascii="宋体" w:hAnsi="宋体" w:eastAsia="宋体" w:cs="宋体"/>
                <w:sz w:val="24"/>
                <w:szCs w:val="24"/>
              </w:rPr>
              <w:t>1.00（项）</w:t>
            </w:r>
          </w:p>
        </w:tc>
        <w:tc>
          <w:tcPr>
            <w:tcW w:w="1705" w:type="dxa"/>
            <w:vAlign w:val="center"/>
          </w:tcPr>
          <w:p>
            <w:pPr>
              <w:pStyle w:val="48"/>
              <w:jc w:val="center"/>
              <w:rPr>
                <w:rFonts w:hint="eastAsia" w:ascii="宋体" w:hAnsi="宋体" w:eastAsia="宋体" w:cs="宋体"/>
                <w:sz w:val="24"/>
                <w:szCs w:val="24"/>
                <w:lang w:val="en-US" w:eastAsia="zh-Hans"/>
              </w:rPr>
            </w:pPr>
            <w:r>
              <w:rPr>
                <w:rFonts w:hint="eastAsia" w:ascii="宋体" w:hAnsi="宋体" w:eastAsia="宋体" w:cs="宋体"/>
                <w:sz w:val="24"/>
                <w:szCs w:val="24"/>
                <w:lang w:val="en-US" w:eastAsia="zh-CN"/>
              </w:rPr>
              <w:t>36</w:t>
            </w:r>
            <w:r>
              <w:rPr>
                <w:rFonts w:hint="eastAsia" w:ascii="宋体" w:hAnsi="宋体" w:eastAsia="宋体" w:cs="宋体"/>
                <w:sz w:val="24"/>
                <w:szCs w:val="24"/>
              </w:rPr>
              <w:t>,000</w:t>
            </w:r>
          </w:p>
        </w:tc>
        <w:tc>
          <w:tcPr>
            <w:tcW w:w="1705" w:type="dxa"/>
            <w:vAlign w:val="center"/>
          </w:tcPr>
          <w:p>
            <w:pPr>
              <w:pStyle w:val="48"/>
              <w:jc w:val="center"/>
              <w:rPr>
                <w:rFonts w:hint="eastAsia" w:ascii="宋体" w:hAnsi="宋体" w:eastAsia="宋体" w:cs="宋体"/>
                <w:sz w:val="24"/>
                <w:szCs w:val="24"/>
                <w:lang w:val="en-US" w:eastAsia="zh-Hans"/>
              </w:rPr>
            </w:pPr>
          </w:p>
        </w:tc>
      </w:tr>
    </w:tbl>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sz w:val="24"/>
          <w:highlight w:val="none"/>
        </w:rPr>
      </w:pPr>
      <w:r>
        <w:rPr>
          <w:rFonts w:hint="eastAsia" w:asciiTheme="minorEastAsia" w:hAnsiTheme="minorEastAsia"/>
          <w:sz w:val="24"/>
          <w:highlight w:val="none"/>
        </w:rPr>
        <w:t>注：报价须包含本项目实施所需全部费用，包括所有服务费、安全责任费、人工费、交通费、代理服务费、税金等，是实现本项目所有服务内容和采购需求的固定不变价格。不因任何原因进行调整，供应商报价时应充分考虑相关因素，因此而造成的损失由供应商自行承担。</w:t>
      </w:r>
    </w:p>
    <w:p>
      <w:pPr>
        <w:keepNext w:val="0"/>
        <w:keepLines w:val="0"/>
        <w:pageBreakBefore w:val="0"/>
        <w:widowControl w:val="0"/>
        <w:kinsoku/>
        <w:wordWrap/>
        <w:overflowPunct/>
        <w:topLinePunct w:val="0"/>
        <w:bidi w:val="0"/>
        <w:spacing w:line="360" w:lineRule="auto"/>
        <w:jc w:val="left"/>
        <w:rPr>
          <w:rFonts w:hint="eastAsia" w:ascii="宋体" w:hAnsi="宋体" w:eastAsia="宋体" w:cs="宋体"/>
          <w:b w:val="0"/>
          <w:bCs w:val="0"/>
          <w:color w:val="auto"/>
          <w:sz w:val="24"/>
          <w:highlight w:val="none"/>
        </w:rPr>
      </w:pPr>
    </w:p>
    <w:p>
      <w:pPr>
        <w:keepNext w:val="0"/>
        <w:keepLines w:val="0"/>
        <w:pageBreakBefore w:val="0"/>
        <w:widowControl w:val="0"/>
        <w:kinsoku/>
        <w:wordWrap/>
        <w:overflowPunct/>
        <w:topLinePunct w:val="0"/>
        <w:bidi w:val="0"/>
        <w:spacing w:line="400" w:lineRule="exact"/>
        <w:ind w:firstLine="480" w:firstLineChars="200"/>
        <w:jc w:val="left"/>
        <w:rPr>
          <w:rFonts w:asciiTheme="minorEastAsia" w:hAnsiTheme="minorEastAsia"/>
          <w:sz w:val="24"/>
          <w:highlight w:val="none"/>
        </w:rPr>
      </w:pPr>
    </w:p>
    <w:p>
      <w:pPr>
        <w:keepNext w:val="0"/>
        <w:keepLines w:val="0"/>
        <w:pageBreakBefore w:val="0"/>
        <w:widowControl w:val="0"/>
        <w:kinsoku/>
        <w:wordWrap/>
        <w:overflowPunct/>
        <w:topLinePunct w:val="0"/>
        <w:bidi w:val="0"/>
        <w:spacing w:line="400" w:lineRule="exact"/>
        <w:ind w:firstLine="480" w:firstLineChars="200"/>
        <w:jc w:val="left"/>
        <w:rPr>
          <w:rFonts w:asciiTheme="minorEastAsia" w:hAnsiTheme="minorEastAsia"/>
          <w:sz w:val="24"/>
          <w:highlight w:val="none"/>
        </w:rPr>
      </w:pPr>
    </w:p>
    <w:p>
      <w:pPr>
        <w:keepNext w:val="0"/>
        <w:keepLines w:val="0"/>
        <w:pageBreakBefore w:val="0"/>
        <w:widowControl w:val="0"/>
        <w:kinsoku/>
        <w:wordWrap/>
        <w:overflowPunct/>
        <w:topLinePunct w:val="0"/>
        <w:bidi w:val="0"/>
        <w:spacing w:line="40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供应商名称：XXX（盖单位公章）</w:t>
      </w:r>
    </w:p>
    <w:p>
      <w:pPr>
        <w:keepNext w:val="0"/>
        <w:keepLines w:val="0"/>
        <w:pageBreakBefore w:val="0"/>
        <w:widowControl w:val="0"/>
        <w:kinsoku/>
        <w:wordWrap/>
        <w:overflowPunct/>
        <w:topLinePunct w:val="0"/>
        <w:bidi w:val="0"/>
        <w:spacing w:line="40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法定代表人（负责人、经营者）或授权代表（签字或盖章）：XXX</w:t>
      </w:r>
    </w:p>
    <w:p>
      <w:pPr>
        <w:keepNext w:val="0"/>
        <w:keepLines w:val="0"/>
        <w:pageBreakBefore w:val="0"/>
        <w:widowControl w:val="0"/>
        <w:kinsoku/>
        <w:wordWrap/>
        <w:overflowPunct/>
        <w:topLinePunct w:val="0"/>
        <w:bidi w:val="0"/>
        <w:spacing w:line="40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 xml:space="preserve">日      期：XXX年XXX月XXX日 </w:t>
      </w:r>
      <w:bookmarkStart w:id="10" w:name="_Toc436385991"/>
      <w:bookmarkStart w:id="11" w:name="_Toc428777949"/>
      <w:bookmarkStart w:id="12" w:name="_Toc427141347"/>
      <w:bookmarkStart w:id="13" w:name="_Toc436410128"/>
      <w:bookmarkStart w:id="14" w:name="_Toc436820889"/>
      <w:bookmarkStart w:id="15" w:name="_Toc436404119"/>
    </w:p>
    <w:bookmarkEnd w:id="10"/>
    <w:bookmarkEnd w:id="11"/>
    <w:bookmarkEnd w:id="12"/>
    <w:bookmarkEnd w:id="13"/>
    <w:bookmarkEnd w:id="14"/>
    <w:bookmarkEnd w:id="15"/>
    <w:p>
      <w:pPr>
        <w:keepNext w:val="0"/>
        <w:keepLines w:val="0"/>
        <w:pageBreakBefore w:val="0"/>
        <w:widowControl w:val="0"/>
        <w:kinsoku/>
        <w:wordWrap/>
        <w:overflowPunct/>
        <w:topLinePunct w:val="0"/>
        <w:bidi w:val="0"/>
        <w:spacing w:line="40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 xml:space="preserve"> </w:t>
      </w:r>
    </w:p>
    <w:p>
      <w:pPr>
        <w:keepNext w:val="0"/>
        <w:keepLines w:val="0"/>
        <w:pageBreakBefore w:val="0"/>
        <w:widowControl w:val="0"/>
        <w:kinsoku/>
        <w:wordWrap/>
        <w:overflowPunct/>
        <w:topLinePunct w:val="0"/>
        <w:bidi w:val="0"/>
        <w:spacing w:line="594" w:lineRule="exact"/>
        <w:ind w:firstLine="1920" w:firstLineChars="600"/>
        <w:rPr>
          <w:rFonts w:ascii="仿宋_GB2312" w:hAnsi="宋体" w:eastAsia="仿宋_GB2312"/>
          <w:kern w:val="44"/>
          <w:sz w:val="32"/>
          <w:szCs w:val="32"/>
          <w:highlight w:val="none"/>
        </w:rPr>
      </w:pPr>
    </w:p>
    <w:p>
      <w:pPr>
        <w:keepNext w:val="0"/>
        <w:keepLines w:val="0"/>
        <w:pageBreakBefore w:val="0"/>
        <w:widowControl w:val="0"/>
        <w:kinsoku/>
        <w:wordWrap/>
        <w:overflowPunct/>
        <w:topLinePunct w:val="0"/>
        <w:bidi w:val="0"/>
        <w:rPr>
          <w:highlight w:val="none"/>
        </w:rPr>
      </w:pPr>
    </w:p>
    <w:p>
      <w:pPr>
        <w:keepNext w:val="0"/>
        <w:keepLines w:val="0"/>
        <w:pageBreakBefore w:val="0"/>
        <w:widowControl w:val="0"/>
        <w:kinsoku/>
        <w:wordWrap/>
        <w:overflowPunct/>
        <w:topLinePunct w:val="0"/>
        <w:bidi w:val="0"/>
        <w:rPr>
          <w:highlight w:val="none"/>
        </w:rPr>
      </w:pPr>
    </w:p>
    <w:p>
      <w:pPr>
        <w:keepNext w:val="0"/>
        <w:keepLines w:val="0"/>
        <w:pageBreakBefore w:val="0"/>
        <w:widowControl w:val="0"/>
        <w:kinsoku/>
        <w:wordWrap/>
        <w:overflowPunct/>
        <w:topLinePunct w:val="0"/>
        <w:bidi w:val="0"/>
        <w:rPr>
          <w:highlight w:val="none"/>
        </w:rPr>
      </w:pPr>
    </w:p>
    <w:p>
      <w:pPr>
        <w:keepNext w:val="0"/>
        <w:keepLines w:val="0"/>
        <w:pageBreakBefore w:val="0"/>
        <w:widowControl w:val="0"/>
        <w:kinsoku/>
        <w:wordWrap/>
        <w:overflowPunct/>
        <w:topLinePunct w:val="0"/>
        <w:bidi w:val="0"/>
        <w:rPr>
          <w:highlight w:val="none"/>
        </w:rPr>
      </w:pPr>
    </w:p>
    <w:p>
      <w:pPr>
        <w:keepNext w:val="0"/>
        <w:keepLines w:val="0"/>
        <w:pageBreakBefore w:val="0"/>
        <w:widowControl w:val="0"/>
        <w:kinsoku/>
        <w:wordWrap/>
        <w:overflowPunct/>
        <w:topLinePunct w:val="0"/>
        <w:bidi w:val="0"/>
        <w:rPr>
          <w:highlight w:val="none"/>
        </w:rPr>
      </w:pPr>
    </w:p>
    <w:p>
      <w:pPr>
        <w:keepNext w:val="0"/>
        <w:keepLines w:val="0"/>
        <w:pageBreakBefore w:val="0"/>
        <w:widowControl w:val="0"/>
        <w:kinsoku/>
        <w:wordWrap/>
        <w:overflowPunct/>
        <w:topLinePunct w:val="0"/>
        <w:bidi w:val="0"/>
        <w:rPr>
          <w:highlight w:val="none"/>
        </w:rPr>
      </w:pPr>
    </w:p>
    <w:p>
      <w:pPr>
        <w:keepNext w:val="0"/>
        <w:keepLines w:val="0"/>
        <w:pageBreakBefore w:val="0"/>
        <w:widowControl w:val="0"/>
        <w:kinsoku/>
        <w:wordWrap/>
        <w:overflowPunct/>
        <w:topLinePunct w:val="0"/>
        <w:bidi w:val="0"/>
        <w:rPr>
          <w:highlight w:val="none"/>
        </w:rPr>
      </w:pPr>
    </w:p>
    <w:p>
      <w:pPr>
        <w:keepNext w:val="0"/>
        <w:keepLines w:val="0"/>
        <w:pageBreakBefore w:val="0"/>
        <w:widowControl w:val="0"/>
        <w:kinsoku/>
        <w:wordWrap/>
        <w:overflowPunct/>
        <w:topLinePunct w:val="0"/>
        <w:bidi w:val="0"/>
        <w:spacing w:line="594" w:lineRule="exact"/>
        <w:ind w:firstLine="2249" w:firstLineChars="700"/>
        <w:rPr>
          <w:rFonts w:hint="eastAsia" w:asciiTheme="minorEastAsia" w:hAnsiTheme="minorEastAsia"/>
          <w:b/>
          <w:bCs/>
          <w:sz w:val="32"/>
          <w:szCs w:val="32"/>
          <w:highlight w:val="none"/>
        </w:rPr>
      </w:pPr>
    </w:p>
    <w:p>
      <w:pPr>
        <w:keepNext w:val="0"/>
        <w:keepLines w:val="0"/>
        <w:pageBreakBefore w:val="0"/>
        <w:widowControl w:val="0"/>
        <w:kinsoku/>
        <w:wordWrap/>
        <w:overflowPunct/>
        <w:topLinePunct w:val="0"/>
        <w:bidi w:val="0"/>
        <w:jc w:val="center"/>
        <w:rPr>
          <w:rFonts w:hint="eastAsia" w:cs="Times New Roman" w:asciiTheme="majorEastAsia" w:hAnsiTheme="majorEastAsia" w:eastAsiaTheme="majorEastAsia"/>
          <w:b/>
          <w:bCs/>
          <w:kern w:val="2"/>
          <w:sz w:val="28"/>
          <w:szCs w:val="32"/>
          <w:highlight w:val="none"/>
          <w:lang w:val="en-US" w:eastAsia="zh-CN" w:bidi="ar-SA"/>
        </w:rPr>
      </w:pPr>
    </w:p>
    <w:p>
      <w:pPr>
        <w:keepNext w:val="0"/>
        <w:keepLines w:val="0"/>
        <w:pageBreakBefore w:val="0"/>
        <w:widowControl w:val="0"/>
        <w:kinsoku/>
        <w:wordWrap/>
        <w:overflowPunct/>
        <w:topLinePunct w:val="0"/>
        <w:bidi w:val="0"/>
        <w:jc w:val="center"/>
        <w:rPr>
          <w:rFonts w:hint="eastAsia" w:cs="Times New Roman" w:asciiTheme="majorEastAsia" w:hAnsiTheme="majorEastAsia" w:eastAsiaTheme="majorEastAsia"/>
          <w:b/>
          <w:bCs/>
          <w:kern w:val="2"/>
          <w:sz w:val="28"/>
          <w:szCs w:val="32"/>
          <w:highlight w:val="none"/>
          <w:lang w:val="en-US" w:eastAsia="zh-CN" w:bidi="ar-SA"/>
        </w:rPr>
      </w:pPr>
    </w:p>
    <w:p>
      <w:pPr>
        <w:keepNext w:val="0"/>
        <w:keepLines w:val="0"/>
        <w:pageBreakBefore w:val="0"/>
        <w:widowControl w:val="0"/>
        <w:kinsoku/>
        <w:wordWrap/>
        <w:overflowPunct/>
        <w:topLinePunct w:val="0"/>
        <w:bidi w:val="0"/>
        <w:jc w:val="center"/>
        <w:rPr>
          <w:rFonts w:hint="eastAsia" w:cs="Times New Roman" w:asciiTheme="majorEastAsia" w:hAnsiTheme="majorEastAsia" w:eastAsiaTheme="majorEastAsia"/>
          <w:b/>
          <w:bCs/>
          <w:kern w:val="2"/>
          <w:sz w:val="28"/>
          <w:szCs w:val="32"/>
          <w:highlight w:val="none"/>
          <w:lang w:val="en-US" w:eastAsia="zh-CN" w:bidi="ar-SA"/>
        </w:rPr>
      </w:pPr>
    </w:p>
    <w:p>
      <w:pPr>
        <w:keepNext w:val="0"/>
        <w:keepLines w:val="0"/>
        <w:pageBreakBefore w:val="0"/>
        <w:widowControl w:val="0"/>
        <w:kinsoku/>
        <w:wordWrap/>
        <w:overflowPunct/>
        <w:topLinePunct w:val="0"/>
        <w:bidi w:val="0"/>
        <w:jc w:val="both"/>
        <w:rPr>
          <w:rFonts w:hint="eastAsia" w:cs="Times New Roman" w:asciiTheme="majorEastAsia" w:hAnsiTheme="majorEastAsia" w:eastAsiaTheme="majorEastAsia"/>
          <w:b/>
          <w:bCs/>
          <w:kern w:val="2"/>
          <w:sz w:val="28"/>
          <w:szCs w:val="32"/>
          <w:highlight w:val="none"/>
          <w:lang w:val="en-US" w:eastAsia="zh-CN" w:bidi="ar-SA"/>
        </w:rPr>
      </w:pPr>
    </w:p>
    <w:p>
      <w:pPr>
        <w:keepNext w:val="0"/>
        <w:keepLines w:val="0"/>
        <w:pageBreakBefore w:val="0"/>
        <w:widowControl w:val="0"/>
        <w:kinsoku/>
        <w:wordWrap/>
        <w:overflowPunct/>
        <w:topLinePunct w:val="0"/>
        <w:bidi w:val="0"/>
        <w:jc w:val="center"/>
        <w:rPr>
          <w:rFonts w:hint="eastAsia" w:cs="Times New Roman" w:asciiTheme="majorEastAsia" w:hAnsiTheme="majorEastAsia" w:eastAsiaTheme="majorEastAsia"/>
          <w:b/>
          <w:bCs/>
          <w:kern w:val="2"/>
          <w:sz w:val="28"/>
          <w:szCs w:val="32"/>
          <w:highlight w:val="none"/>
          <w:lang w:val="en-US" w:eastAsia="zh-CN" w:bidi="ar-SA"/>
        </w:rPr>
      </w:pPr>
      <w:r>
        <w:rPr>
          <w:rFonts w:hint="eastAsia" w:cs="Times New Roman" w:asciiTheme="majorEastAsia" w:hAnsiTheme="majorEastAsia" w:eastAsiaTheme="majorEastAsia"/>
          <w:b/>
          <w:bCs/>
          <w:kern w:val="2"/>
          <w:sz w:val="28"/>
          <w:szCs w:val="32"/>
          <w:highlight w:val="none"/>
          <w:lang w:val="en-US" w:eastAsia="zh-CN" w:bidi="ar-SA"/>
        </w:rPr>
        <w:t>（六）中小企业声明函（如涉及）</w:t>
      </w:r>
    </w:p>
    <w:p>
      <w:pPr>
        <w:pStyle w:val="7"/>
        <w:keepNext w:val="0"/>
        <w:keepLines w:val="0"/>
        <w:pageBreakBefore w:val="0"/>
        <w:widowControl w:val="0"/>
        <w:kinsoku/>
        <w:wordWrap/>
        <w:overflowPunct/>
        <w:topLinePunct w:val="0"/>
        <w:bidi w:val="0"/>
        <w:spacing w:after="0" w:line="360" w:lineRule="auto"/>
        <w:ind w:right="415" w:firstLine="640"/>
        <w:jc w:val="left"/>
        <w:rPr>
          <w:rFonts w:ascii="宋体" w:hAnsi="宋体"/>
          <w:sz w:val="24"/>
          <w:highlight w:val="none"/>
        </w:rPr>
      </w:pPr>
      <w:r>
        <w:rPr>
          <w:rFonts w:hint="eastAsia" w:ascii="宋体" w:hAnsi="宋体" w:cs="宋体"/>
          <w:kern w:val="0"/>
          <w:sz w:val="24"/>
          <w:highlight w:val="none"/>
        </w:rPr>
        <w:t>　</w:t>
      </w:r>
      <w:r>
        <w:rPr>
          <w:rFonts w:hint="eastAsia" w:ascii="仿宋_GB2312" w:hAnsi="宋体" w:eastAsia="仿宋_GB2312" w:cs="宋体"/>
          <w:kern w:val="0"/>
          <w:sz w:val="32"/>
          <w:szCs w:val="32"/>
          <w:highlight w:val="none"/>
        </w:rPr>
        <w:t>　</w:t>
      </w:r>
      <w:r>
        <w:rPr>
          <w:rFonts w:hint="eastAsia" w:ascii="宋体" w:hAnsi="宋体" w:cs="仿宋"/>
          <w:sz w:val="24"/>
          <w:highlight w:val="none"/>
        </w:rPr>
        <w:t>本公司郑重声明，根据《政府采购促进中小企业发展管理办法》（财库﹝2020﹞46 号）的规定，本公司参加</w:t>
      </w:r>
      <w:r>
        <w:rPr>
          <w:rFonts w:hint="eastAsia" w:ascii="宋体" w:hAnsi="宋体" w:cs="仿宋"/>
          <w:sz w:val="24"/>
          <w:highlight w:val="none"/>
          <w:u w:val="single"/>
        </w:rPr>
        <w:t>（单位名称）</w:t>
      </w:r>
      <w:r>
        <w:rPr>
          <w:rFonts w:hint="eastAsia" w:ascii="宋体" w:hAnsi="宋体" w:cs="仿宋"/>
          <w:sz w:val="24"/>
          <w:highlight w:val="none"/>
        </w:rPr>
        <w:t>的</w:t>
      </w:r>
      <w:r>
        <w:rPr>
          <w:rFonts w:hint="eastAsia" w:ascii="宋体" w:hAnsi="宋体" w:cs="仿宋"/>
          <w:sz w:val="24"/>
          <w:highlight w:val="none"/>
          <w:u w:val="single"/>
        </w:rPr>
        <w:t>（项目名称）</w:t>
      </w:r>
      <w:r>
        <w:rPr>
          <w:rFonts w:hint="eastAsia" w:ascii="宋体" w:hAnsi="宋体" w:cs="仿宋"/>
          <w:sz w:val="24"/>
          <w:highlight w:val="none"/>
        </w:rPr>
        <w:t>采购活动，服务全部由符合政策要求的中小企业承接。相关企业的具体情况如下：</w:t>
      </w:r>
    </w:p>
    <w:p>
      <w:pPr>
        <w:pStyle w:val="28"/>
        <w:keepNext w:val="0"/>
        <w:keepLines w:val="0"/>
        <w:pageBreakBefore w:val="0"/>
        <w:widowControl w:val="0"/>
        <w:tabs>
          <w:tab w:val="left" w:pos="1183"/>
          <w:tab w:val="left" w:pos="1484"/>
          <w:tab w:val="left" w:pos="4662"/>
          <w:tab w:val="left" w:pos="6903"/>
        </w:tabs>
        <w:kinsoku/>
        <w:wordWrap/>
        <w:overflowPunct/>
        <w:topLinePunct w:val="0"/>
        <w:bidi w:val="0"/>
        <w:spacing w:line="360" w:lineRule="auto"/>
        <w:ind w:right="170" w:firstLineChars="0"/>
        <w:rPr>
          <w:rFonts w:ascii="宋体" w:hAnsi="宋体"/>
          <w:sz w:val="24"/>
          <w:highlight w:val="none"/>
        </w:rPr>
      </w:pPr>
      <w:r>
        <w:rPr>
          <w:rFonts w:hint="eastAsia" w:ascii="宋体" w:hAnsi="宋体" w:cs="仿宋"/>
          <w:sz w:val="24"/>
          <w:highlight w:val="none"/>
        </w:rPr>
        <w:t xml:space="preserve">1. </w:t>
      </w:r>
      <w:r>
        <w:rPr>
          <w:rFonts w:hint="eastAsia" w:ascii="宋体" w:hAnsi="宋体" w:cs="仿宋"/>
          <w:sz w:val="24"/>
          <w:highlight w:val="none"/>
          <w:u w:val="single"/>
        </w:rPr>
        <w:t>（</w:t>
      </w:r>
      <w:r>
        <w:rPr>
          <w:rFonts w:hint="eastAsia" w:ascii="宋体" w:hAnsi="宋体" w:cs="仿宋"/>
          <w:sz w:val="24"/>
          <w:highlight w:val="none"/>
          <w:u w:val="single"/>
          <w:lang w:bidi="zh-CN"/>
        </w:rPr>
        <w:t>标的名称）</w:t>
      </w:r>
      <w:r>
        <w:rPr>
          <w:rFonts w:hint="eastAsia" w:ascii="宋体" w:hAnsi="宋体" w:cs="仿宋"/>
          <w:sz w:val="24"/>
          <w:highlight w:val="none"/>
          <w:lang w:bidi="zh-CN"/>
        </w:rPr>
        <w:t>，</w:t>
      </w:r>
      <w:r>
        <w:rPr>
          <w:rFonts w:hint="eastAsia" w:ascii="宋体" w:hAnsi="宋体" w:cs="仿宋"/>
          <w:sz w:val="24"/>
          <w:highlight w:val="none"/>
          <w:lang w:val="zh-CN" w:bidi="zh-CN"/>
        </w:rPr>
        <w:t>属于</w:t>
      </w:r>
      <w:r>
        <w:rPr>
          <w:rFonts w:hint="eastAsia" w:ascii="宋体" w:hAnsi="宋体" w:cs="仿宋"/>
          <w:sz w:val="24"/>
          <w:highlight w:val="none"/>
          <w:u w:val="single"/>
          <w:lang w:val="zh-CN" w:bidi="zh-CN"/>
        </w:rPr>
        <w:t xml:space="preserve">       （所属行业）</w:t>
      </w:r>
      <w:r>
        <w:rPr>
          <w:rFonts w:hint="eastAsia" w:ascii="宋体" w:hAnsi="宋体" w:cs="仿宋"/>
          <w:sz w:val="24"/>
          <w:highlight w:val="none"/>
        </w:rPr>
        <w:t>；承接企业为</w:t>
      </w:r>
      <w:r>
        <w:rPr>
          <w:rFonts w:hint="eastAsia" w:ascii="宋体" w:hAnsi="宋体" w:cs="仿宋"/>
          <w:sz w:val="24"/>
          <w:highlight w:val="none"/>
          <w:u w:val="single"/>
          <w:lang w:bidi="zh-CN"/>
        </w:rPr>
        <w:t>（企业名称）</w:t>
      </w:r>
      <w:r>
        <w:rPr>
          <w:rFonts w:hint="eastAsia" w:ascii="宋体" w:hAnsi="宋体" w:cs="仿宋"/>
          <w:sz w:val="24"/>
          <w:highlight w:val="none"/>
          <w:lang w:bidi="zh-CN"/>
        </w:rPr>
        <w:t>，</w:t>
      </w:r>
      <w:r>
        <w:rPr>
          <w:rFonts w:hint="eastAsia" w:ascii="宋体" w:hAnsi="宋体" w:cs="仿宋"/>
          <w:sz w:val="24"/>
          <w:highlight w:val="none"/>
        </w:rPr>
        <w:t>从业人员</w:t>
      </w:r>
      <w:r>
        <w:rPr>
          <w:rFonts w:hint="eastAsia" w:ascii="宋体" w:hAnsi="宋体" w:cs="仿宋"/>
          <w:sz w:val="24"/>
          <w:highlight w:val="none"/>
          <w:u w:val="single"/>
        </w:rPr>
        <w:t xml:space="preserve">      </w:t>
      </w:r>
      <w:r>
        <w:rPr>
          <w:rFonts w:hint="eastAsia" w:ascii="宋体" w:hAnsi="宋体" w:cs="仿宋"/>
          <w:sz w:val="24"/>
          <w:highlight w:val="none"/>
        </w:rPr>
        <w:t>人，营业收入为</w:t>
      </w:r>
      <w:r>
        <w:rPr>
          <w:rFonts w:hint="eastAsia" w:ascii="宋体" w:hAnsi="宋体" w:cs="仿宋"/>
          <w:sz w:val="24"/>
          <w:highlight w:val="none"/>
          <w:u w:val="single"/>
        </w:rPr>
        <w:t xml:space="preserve">     </w:t>
      </w:r>
      <w:r>
        <w:rPr>
          <w:rFonts w:hint="eastAsia" w:ascii="宋体" w:hAnsi="宋体" w:cs="仿宋"/>
          <w:sz w:val="24"/>
          <w:highlight w:val="none"/>
        </w:rPr>
        <w:t>万元，资产总额为</w:t>
      </w:r>
      <w:r>
        <w:rPr>
          <w:rFonts w:hint="eastAsia" w:ascii="宋体" w:hAnsi="宋体" w:cs="仿宋"/>
          <w:sz w:val="24"/>
          <w:highlight w:val="none"/>
          <w:u w:val="single"/>
        </w:rPr>
        <w:t xml:space="preserve">     </w:t>
      </w:r>
      <w:r>
        <w:rPr>
          <w:rFonts w:hint="eastAsia" w:ascii="宋体" w:hAnsi="宋体" w:cs="仿宋"/>
          <w:sz w:val="24"/>
          <w:highlight w:val="none"/>
        </w:rPr>
        <w:t>万元，属于</w:t>
      </w:r>
      <w:r>
        <w:rPr>
          <w:rFonts w:hint="eastAsia" w:ascii="宋体" w:hAnsi="宋体" w:cs="仿宋"/>
          <w:sz w:val="24"/>
          <w:highlight w:val="none"/>
          <w:u w:val="single"/>
          <w:lang w:bidi="zh-CN"/>
        </w:rPr>
        <w:t>（中型企业、小型企业、微型企业）；</w:t>
      </w:r>
    </w:p>
    <w:p>
      <w:pPr>
        <w:pStyle w:val="28"/>
        <w:keepNext w:val="0"/>
        <w:keepLines w:val="0"/>
        <w:pageBreakBefore w:val="0"/>
        <w:widowControl w:val="0"/>
        <w:tabs>
          <w:tab w:val="left" w:pos="1165"/>
          <w:tab w:val="left" w:pos="1183"/>
          <w:tab w:val="left" w:pos="4362"/>
          <w:tab w:val="left" w:pos="6577"/>
        </w:tabs>
        <w:kinsoku/>
        <w:wordWrap/>
        <w:overflowPunct/>
        <w:topLinePunct w:val="0"/>
        <w:bidi w:val="0"/>
        <w:spacing w:line="360" w:lineRule="auto"/>
        <w:ind w:right="170" w:firstLineChars="0"/>
        <w:rPr>
          <w:rFonts w:ascii="宋体" w:hAnsi="宋体"/>
          <w:sz w:val="24"/>
          <w:highlight w:val="none"/>
        </w:rPr>
      </w:pPr>
      <w:r>
        <w:rPr>
          <w:rFonts w:hint="eastAsia" w:ascii="宋体" w:hAnsi="宋体" w:cs="仿宋"/>
          <w:sz w:val="24"/>
          <w:highlight w:val="none"/>
        </w:rPr>
        <w:t>2.</w:t>
      </w:r>
      <w:r>
        <w:rPr>
          <w:rFonts w:hint="eastAsia" w:ascii="宋体" w:hAnsi="宋体" w:cs="仿宋"/>
          <w:sz w:val="24"/>
          <w:highlight w:val="none"/>
          <w:u w:val="single"/>
        </w:rPr>
        <w:t xml:space="preserve"> （</w:t>
      </w:r>
      <w:r>
        <w:rPr>
          <w:rFonts w:hint="eastAsia" w:ascii="宋体" w:hAnsi="宋体" w:cs="仿宋"/>
          <w:sz w:val="24"/>
          <w:highlight w:val="none"/>
          <w:u w:val="single"/>
          <w:lang w:bidi="zh-CN"/>
        </w:rPr>
        <w:t>标的名称）</w:t>
      </w:r>
      <w:r>
        <w:rPr>
          <w:rFonts w:hint="eastAsia" w:ascii="宋体" w:hAnsi="宋体" w:cs="仿宋"/>
          <w:sz w:val="24"/>
          <w:highlight w:val="none"/>
          <w:lang w:bidi="zh-CN"/>
        </w:rPr>
        <w:t>，</w:t>
      </w:r>
      <w:r>
        <w:rPr>
          <w:rFonts w:hint="eastAsia" w:ascii="宋体" w:hAnsi="宋体" w:cs="仿宋"/>
          <w:sz w:val="24"/>
          <w:highlight w:val="none"/>
        </w:rPr>
        <w:t xml:space="preserve">属于 </w:t>
      </w:r>
      <w:r>
        <w:rPr>
          <w:rFonts w:hint="eastAsia" w:ascii="宋体" w:hAnsi="宋体" w:cs="仿宋"/>
          <w:sz w:val="24"/>
          <w:highlight w:val="none"/>
          <w:u w:val="single"/>
          <w:lang w:val="zh-CN" w:bidi="zh-CN"/>
        </w:rPr>
        <w:t xml:space="preserve">       （所属行业）</w:t>
      </w:r>
      <w:r>
        <w:rPr>
          <w:rFonts w:hint="eastAsia" w:ascii="宋体" w:hAnsi="宋体" w:cs="仿宋"/>
          <w:sz w:val="24"/>
          <w:highlight w:val="none"/>
        </w:rPr>
        <w:t>；承接企业为</w:t>
      </w:r>
      <w:r>
        <w:rPr>
          <w:rFonts w:hint="eastAsia" w:ascii="宋体" w:hAnsi="宋体" w:cs="仿宋"/>
          <w:sz w:val="24"/>
          <w:highlight w:val="none"/>
          <w:u w:val="single"/>
        </w:rPr>
        <w:t>（</w:t>
      </w:r>
      <w:r>
        <w:rPr>
          <w:rFonts w:hint="eastAsia" w:ascii="宋体" w:hAnsi="宋体" w:cs="仿宋"/>
          <w:sz w:val="24"/>
          <w:highlight w:val="none"/>
          <w:u w:val="single"/>
          <w:lang w:val="zh-CN" w:bidi="zh-CN"/>
        </w:rPr>
        <w:t>企业名称）</w:t>
      </w:r>
      <w:r>
        <w:rPr>
          <w:rFonts w:hint="eastAsia" w:ascii="宋体" w:hAnsi="宋体" w:cs="仿宋"/>
          <w:sz w:val="24"/>
          <w:highlight w:val="none"/>
          <w:lang w:val="zh-CN" w:bidi="zh-CN"/>
        </w:rPr>
        <w:t>，</w:t>
      </w:r>
      <w:r>
        <w:rPr>
          <w:rFonts w:hint="eastAsia" w:ascii="宋体" w:hAnsi="宋体" w:cs="仿宋"/>
          <w:sz w:val="24"/>
          <w:highlight w:val="none"/>
        </w:rPr>
        <w:t>从业人员</w:t>
      </w:r>
      <w:r>
        <w:rPr>
          <w:rFonts w:hint="eastAsia" w:ascii="宋体" w:hAnsi="宋体" w:cs="仿宋"/>
          <w:sz w:val="24"/>
          <w:highlight w:val="none"/>
          <w:u w:val="single"/>
        </w:rPr>
        <w:t xml:space="preserve">      </w:t>
      </w:r>
      <w:r>
        <w:rPr>
          <w:rFonts w:hint="eastAsia" w:ascii="宋体" w:hAnsi="宋体" w:cs="仿宋"/>
          <w:sz w:val="24"/>
          <w:highlight w:val="none"/>
        </w:rPr>
        <w:t>人，营业收入为</w:t>
      </w:r>
      <w:r>
        <w:rPr>
          <w:rFonts w:hint="eastAsia" w:ascii="宋体" w:hAnsi="宋体" w:cs="仿宋"/>
          <w:sz w:val="24"/>
          <w:highlight w:val="none"/>
          <w:u w:val="single"/>
        </w:rPr>
        <w:t xml:space="preserve">     </w:t>
      </w:r>
      <w:r>
        <w:rPr>
          <w:rFonts w:hint="eastAsia" w:ascii="宋体" w:hAnsi="宋体" w:cs="仿宋"/>
          <w:sz w:val="24"/>
          <w:highlight w:val="none"/>
        </w:rPr>
        <w:t>万元，资产总额为</w:t>
      </w:r>
      <w:r>
        <w:rPr>
          <w:rFonts w:hint="eastAsia" w:ascii="宋体" w:hAnsi="宋体" w:cs="仿宋"/>
          <w:sz w:val="24"/>
          <w:highlight w:val="none"/>
          <w:u w:val="single"/>
        </w:rPr>
        <w:t xml:space="preserve">     </w:t>
      </w:r>
      <w:r>
        <w:rPr>
          <w:rFonts w:hint="eastAsia" w:ascii="宋体" w:hAnsi="宋体" w:cs="仿宋"/>
          <w:sz w:val="24"/>
          <w:highlight w:val="none"/>
        </w:rPr>
        <w:t>万元，属于</w:t>
      </w:r>
      <w:r>
        <w:rPr>
          <w:rFonts w:hint="eastAsia" w:ascii="宋体" w:hAnsi="宋体" w:cs="仿宋"/>
          <w:sz w:val="24"/>
          <w:highlight w:val="none"/>
          <w:u w:val="single"/>
          <w:lang w:val="zh-CN" w:bidi="zh-CN"/>
        </w:rPr>
        <w:t>（中型企业、小</w:t>
      </w:r>
      <w:r>
        <w:rPr>
          <w:rFonts w:hint="eastAsia" w:ascii="宋体" w:hAnsi="宋体" w:cs="仿宋"/>
          <w:sz w:val="24"/>
          <w:highlight w:val="none"/>
          <w:u w:val="single"/>
          <w:lang w:bidi="zh-CN"/>
        </w:rPr>
        <w:t>型</w:t>
      </w:r>
      <w:r>
        <w:rPr>
          <w:rFonts w:hint="eastAsia" w:ascii="宋体" w:hAnsi="宋体" w:cs="仿宋"/>
          <w:sz w:val="24"/>
          <w:highlight w:val="none"/>
          <w:u w:val="single"/>
          <w:lang w:val="zh-CN" w:bidi="zh-CN"/>
        </w:rPr>
        <w:t>企业、微型企业）；</w:t>
      </w:r>
    </w:p>
    <w:p>
      <w:pPr>
        <w:pStyle w:val="7"/>
        <w:keepNext w:val="0"/>
        <w:keepLines w:val="0"/>
        <w:pageBreakBefore w:val="0"/>
        <w:widowControl w:val="0"/>
        <w:kinsoku/>
        <w:wordWrap/>
        <w:overflowPunct/>
        <w:topLinePunct w:val="0"/>
        <w:bidi w:val="0"/>
        <w:spacing w:after="0" w:line="360" w:lineRule="auto"/>
        <w:ind w:right="417"/>
        <w:rPr>
          <w:rFonts w:ascii="宋体" w:hAnsi="宋体" w:cs="仿宋"/>
          <w:sz w:val="24"/>
          <w:highlight w:val="none"/>
        </w:rPr>
      </w:pPr>
    </w:p>
    <w:p>
      <w:pPr>
        <w:pStyle w:val="7"/>
        <w:keepNext w:val="0"/>
        <w:keepLines w:val="0"/>
        <w:pageBreakBefore w:val="0"/>
        <w:widowControl w:val="0"/>
        <w:kinsoku/>
        <w:wordWrap/>
        <w:overflowPunct/>
        <w:topLinePunct w:val="0"/>
        <w:bidi w:val="0"/>
        <w:spacing w:after="0" w:line="360" w:lineRule="auto"/>
        <w:ind w:right="417" w:firstLine="360" w:firstLineChars="150"/>
        <w:rPr>
          <w:rFonts w:ascii="宋体" w:hAnsi="宋体"/>
          <w:sz w:val="24"/>
          <w:highlight w:val="none"/>
        </w:rPr>
      </w:pPr>
      <w:r>
        <w:rPr>
          <w:rFonts w:hint="eastAsia" w:ascii="宋体" w:hAnsi="宋体" w:cs="仿宋"/>
          <w:sz w:val="24"/>
          <w:highlight w:val="none"/>
        </w:rPr>
        <w:t>以上企业，不属于大企业的分支机构，不存在控股股东为大企业的情形，也不存在与大企业的负责人为同一人的情形。</w:t>
      </w:r>
    </w:p>
    <w:p>
      <w:pPr>
        <w:pStyle w:val="7"/>
        <w:keepNext w:val="0"/>
        <w:keepLines w:val="0"/>
        <w:pageBreakBefore w:val="0"/>
        <w:widowControl w:val="0"/>
        <w:kinsoku/>
        <w:wordWrap/>
        <w:overflowPunct/>
        <w:topLinePunct w:val="0"/>
        <w:bidi w:val="0"/>
        <w:spacing w:after="0" w:line="360" w:lineRule="auto"/>
        <w:ind w:right="375" w:firstLine="480" w:firstLineChars="200"/>
        <w:rPr>
          <w:rFonts w:ascii="宋体" w:hAnsi="宋体"/>
          <w:sz w:val="24"/>
          <w:highlight w:val="none"/>
        </w:rPr>
      </w:pPr>
      <w:r>
        <w:rPr>
          <w:rFonts w:hint="eastAsia" w:ascii="宋体" w:hAnsi="宋体" w:cs="仿宋"/>
          <w:sz w:val="24"/>
          <w:highlight w:val="none"/>
        </w:rPr>
        <w:t>本企业对上述声明内容的真实性负责。如有虚假，将依法承担相应责任。</w:t>
      </w:r>
    </w:p>
    <w:p>
      <w:pPr>
        <w:pStyle w:val="7"/>
        <w:keepNext w:val="0"/>
        <w:keepLines w:val="0"/>
        <w:pageBreakBefore w:val="0"/>
        <w:widowControl w:val="0"/>
        <w:kinsoku/>
        <w:wordWrap/>
        <w:overflowPunct/>
        <w:topLinePunct w:val="0"/>
        <w:bidi w:val="0"/>
        <w:spacing w:after="0" w:line="360" w:lineRule="auto"/>
        <w:ind w:left="4060" w:right="2166"/>
        <w:rPr>
          <w:rFonts w:ascii="宋体" w:hAnsi="宋体" w:cs="仿宋"/>
          <w:sz w:val="24"/>
          <w:highlight w:val="none"/>
        </w:rPr>
      </w:pPr>
    </w:p>
    <w:p>
      <w:pPr>
        <w:pStyle w:val="7"/>
        <w:keepNext w:val="0"/>
        <w:keepLines w:val="0"/>
        <w:pageBreakBefore w:val="0"/>
        <w:widowControl w:val="0"/>
        <w:kinsoku/>
        <w:wordWrap/>
        <w:overflowPunct/>
        <w:topLinePunct w:val="0"/>
        <w:bidi w:val="0"/>
        <w:spacing w:after="0" w:line="360" w:lineRule="auto"/>
        <w:ind w:left="4060" w:right="2166"/>
        <w:rPr>
          <w:rFonts w:ascii="宋体" w:hAnsi="宋体" w:cs="仿宋"/>
          <w:sz w:val="24"/>
          <w:highlight w:val="none"/>
        </w:rPr>
      </w:pPr>
      <w:r>
        <w:rPr>
          <w:rFonts w:hint="eastAsia" w:ascii="宋体" w:hAnsi="宋体" w:cs="仿宋"/>
          <w:sz w:val="24"/>
          <w:highlight w:val="none"/>
        </w:rPr>
        <w:t>企业名称（盖章）：</w:t>
      </w:r>
    </w:p>
    <w:p>
      <w:pPr>
        <w:pStyle w:val="7"/>
        <w:keepNext w:val="0"/>
        <w:keepLines w:val="0"/>
        <w:pageBreakBefore w:val="0"/>
        <w:widowControl w:val="0"/>
        <w:kinsoku/>
        <w:wordWrap/>
        <w:overflowPunct/>
        <w:topLinePunct w:val="0"/>
        <w:bidi w:val="0"/>
        <w:spacing w:after="0" w:line="360" w:lineRule="auto"/>
        <w:ind w:left="4060" w:right="2166"/>
        <w:rPr>
          <w:rFonts w:ascii="宋体" w:hAnsi="宋体"/>
          <w:sz w:val="24"/>
          <w:highlight w:val="none"/>
        </w:rPr>
      </w:pPr>
      <w:r>
        <w:rPr>
          <w:rFonts w:hint="eastAsia" w:ascii="宋体" w:hAnsi="宋体" w:cs="仿宋"/>
          <w:sz w:val="24"/>
          <w:highlight w:val="none"/>
        </w:rPr>
        <w:t>日期:</w:t>
      </w:r>
    </w:p>
    <w:p>
      <w:pPr>
        <w:keepNext w:val="0"/>
        <w:keepLines w:val="0"/>
        <w:pageBreakBefore w:val="0"/>
        <w:widowControl w:val="0"/>
        <w:kinsoku/>
        <w:wordWrap/>
        <w:overflowPunct/>
        <w:topLinePunct w:val="0"/>
        <w:bidi w:val="0"/>
        <w:ind w:firstLine="482" w:firstLineChars="150"/>
        <w:rPr>
          <w:rFonts w:ascii="黑体" w:hAnsi="黑体" w:eastAsia="黑体"/>
          <w:b/>
          <w:sz w:val="32"/>
          <w:szCs w:val="32"/>
          <w:highlight w:val="none"/>
        </w:rPr>
      </w:pPr>
    </w:p>
    <w:p>
      <w:pPr>
        <w:keepNext w:val="0"/>
        <w:keepLines w:val="0"/>
        <w:pageBreakBefore w:val="0"/>
        <w:widowControl w:val="0"/>
        <w:kinsoku/>
        <w:wordWrap/>
        <w:overflowPunct/>
        <w:topLinePunct w:val="0"/>
        <w:bidi w:val="0"/>
        <w:ind w:firstLine="482" w:firstLineChars="150"/>
        <w:rPr>
          <w:rFonts w:ascii="黑体" w:hAnsi="黑体" w:eastAsia="黑体"/>
          <w:b/>
          <w:sz w:val="32"/>
          <w:szCs w:val="32"/>
          <w:highlight w:val="none"/>
        </w:rPr>
      </w:pPr>
    </w:p>
    <w:p>
      <w:pPr>
        <w:keepNext w:val="0"/>
        <w:keepLines w:val="0"/>
        <w:pageBreakBefore w:val="0"/>
        <w:widowControl w:val="0"/>
        <w:kinsoku/>
        <w:wordWrap/>
        <w:overflowPunct/>
        <w:topLinePunct w:val="0"/>
        <w:bidi w:val="0"/>
        <w:ind w:firstLine="482" w:firstLineChars="150"/>
        <w:rPr>
          <w:rFonts w:ascii="黑体" w:hAnsi="黑体" w:eastAsia="黑体"/>
          <w:b/>
          <w:sz w:val="32"/>
          <w:szCs w:val="32"/>
          <w:highlight w:val="none"/>
        </w:rPr>
      </w:pPr>
    </w:p>
    <w:p>
      <w:pPr>
        <w:keepNext w:val="0"/>
        <w:keepLines w:val="0"/>
        <w:pageBreakBefore w:val="0"/>
        <w:widowControl w:val="0"/>
        <w:kinsoku/>
        <w:wordWrap/>
        <w:overflowPunct/>
        <w:topLinePunct w:val="0"/>
        <w:bidi w:val="0"/>
        <w:ind w:firstLine="482" w:firstLineChars="150"/>
        <w:rPr>
          <w:rFonts w:ascii="黑体" w:hAnsi="黑体" w:eastAsia="黑体"/>
          <w:b/>
          <w:sz w:val="32"/>
          <w:szCs w:val="32"/>
          <w:highlight w:val="none"/>
        </w:rPr>
      </w:pPr>
    </w:p>
    <w:p>
      <w:pPr>
        <w:keepNext w:val="0"/>
        <w:keepLines w:val="0"/>
        <w:pageBreakBefore w:val="0"/>
        <w:widowControl w:val="0"/>
        <w:kinsoku/>
        <w:wordWrap/>
        <w:overflowPunct/>
        <w:topLinePunct w:val="0"/>
        <w:bidi w:val="0"/>
        <w:ind w:firstLine="482" w:firstLineChars="150"/>
        <w:rPr>
          <w:rFonts w:ascii="黑体" w:hAnsi="黑体" w:eastAsia="黑体"/>
          <w:b/>
          <w:sz w:val="32"/>
          <w:szCs w:val="32"/>
          <w:highlight w:val="none"/>
        </w:rPr>
      </w:pPr>
    </w:p>
    <w:p>
      <w:pPr>
        <w:keepNext w:val="0"/>
        <w:keepLines w:val="0"/>
        <w:pageBreakBefore w:val="0"/>
        <w:widowControl w:val="0"/>
        <w:kinsoku/>
        <w:wordWrap/>
        <w:overflowPunct/>
        <w:topLinePunct w:val="0"/>
        <w:bidi w:val="0"/>
        <w:ind w:firstLine="482" w:firstLineChars="150"/>
        <w:rPr>
          <w:rFonts w:ascii="黑体" w:hAnsi="黑体" w:eastAsia="黑体"/>
          <w:b/>
          <w:sz w:val="32"/>
          <w:szCs w:val="32"/>
          <w:highlight w:val="none"/>
        </w:rPr>
      </w:pPr>
    </w:p>
    <w:p>
      <w:pPr>
        <w:keepNext w:val="0"/>
        <w:keepLines w:val="0"/>
        <w:pageBreakBefore w:val="0"/>
        <w:widowControl w:val="0"/>
        <w:kinsoku/>
        <w:wordWrap/>
        <w:overflowPunct/>
        <w:topLinePunct w:val="0"/>
        <w:bidi w:val="0"/>
        <w:rPr>
          <w:rFonts w:ascii="宋体" w:hAnsi="宋体"/>
          <w:sz w:val="24"/>
          <w:highlight w:val="none"/>
        </w:rPr>
      </w:pPr>
      <w:r>
        <w:rPr>
          <w:rFonts w:hint="eastAsia" w:ascii="宋体" w:hAnsi="宋体"/>
          <w:sz w:val="24"/>
          <w:highlight w:val="none"/>
        </w:rPr>
        <w:t>注:1、从业人员、营业收入、资产总额填报上一年度数据，无上一年度数据的新成立企业可不填报。</w:t>
      </w:r>
    </w:p>
    <w:p>
      <w:pPr>
        <w:keepNext w:val="0"/>
        <w:keepLines w:val="0"/>
        <w:pageBreakBefore w:val="0"/>
        <w:widowControl w:val="0"/>
        <w:kinsoku/>
        <w:wordWrap/>
        <w:overflowPunct/>
        <w:topLinePunct w:val="0"/>
        <w:bidi w:val="0"/>
        <w:spacing w:line="400" w:lineRule="exact"/>
        <w:ind w:firstLine="480" w:firstLineChars="200"/>
        <w:jc w:val="left"/>
        <w:rPr>
          <w:rFonts w:ascii="宋体" w:hAnsi="宋体"/>
          <w:sz w:val="24"/>
          <w:highlight w:val="none"/>
        </w:rPr>
      </w:pPr>
      <w:r>
        <w:rPr>
          <w:rFonts w:hint="eastAsia" w:ascii="宋体" w:hAnsi="宋体"/>
          <w:sz w:val="24"/>
          <w:highlight w:val="none"/>
        </w:rPr>
        <w:t>2、供应商为非小微企业的，可不提供此声明。</w:t>
      </w:r>
    </w:p>
    <w:p>
      <w:pPr>
        <w:keepNext w:val="0"/>
        <w:keepLines w:val="0"/>
        <w:pageBreakBefore w:val="0"/>
        <w:widowControl w:val="0"/>
        <w:kinsoku/>
        <w:wordWrap/>
        <w:overflowPunct/>
        <w:topLinePunct w:val="0"/>
        <w:bidi w:val="0"/>
        <w:jc w:val="center"/>
        <w:rPr>
          <w:rFonts w:hint="eastAsia" w:cs="Times New Roman" w:asciiTheme="majorEastAsia" w:hAnsiTheme="majorEastAsia" w:eastAsiaTheme="majorEastAsia"/>
          <w:b/>
          <w:bCs/>
          <w:kern w:val="2"/>
          <w:sz w:val="28"/>
          <w:szCs w:val="32"/>
          <w:highlight w:val="none"/>
          <w:lang w:val="en-US" w:eastAsia="zh-CN" w:bidi="ar-SA"/>
        </w:rPr>
      </w:pPr>
    </w:p>
    <w:p>
      <w:pPr>
        <w:keepNext w:val="0"/>
        <w:keepLines w:val="0"/>
        <w:pageBreakBefore w:val="0"/>
        <w:widowControl w:val="0"/>
        <w:kinsoku/>
        <w:wordWrap/>
        <w:overflowPunct/>
        <w:topLinePunct w:val="0"/>
        <w:bidi w:val="0"/>
        <w:jc w:val="center"/>
        <w:rPr>
          <w:rFonts w:hint="eastAsia" w:ascii="宋体" w:hAnsi="宋体" w:cs="宋体"/>
          <w:kern w:val="0"/>
          <w:sz w:val="24"/>
          <w:highlight w:val="none"/>
        </w:rPr>
      </w:pPr>
      <w:r>
        <w:rPr>
          <w:rFonts w:hint="eastAsia" w:cs="Times New Roman" w:asciiTheme="majorEastAsia" w:hAnsiTheme="majorEastAsia" w:eastAsiaTheme="majorEastAsia"/>
          <w:b/>
          <w:bCs/>
          <w:kern w:val="2"/>
          <w:sz w:val="28"/>
          <w:szCs w:val="32"/>
          <w:highlight w:val="none"/>
          <w:lang w:val="en-US" w:eastAsia="zh-CN" w:bidi="ar-SA"/>
        </w:rPr>
        <w:t>（七）残疾人福利性单位声明函（如涉及）</w:t>
      </w:r>
    </w:p>
    <w:p>
      <w:pPr>
        <w:keepNext w:val="0"/>
        <w:keepLines w:val="0"/>
        <w:pageBreakBefore w:val="0"/>
        <w:widowControl w:val="0"/>
        <w:kinsoku/>
        <w:wordWrap/>
        <w:overflowPunct/>
        <w:topLinePunct w:val="0"/>
        <w:bidi w:val="0"/>
        <w:spacing w:line="360" w:lineRule="auto"/>
        <w:ind w:firstLine="504" w:firstLineChars="200"/>
        <w:jc w:val="left"/>
        <w:rPr>
          <w:rFonts w:ascii="宋体" w:hAnsi="宋体"/>
          <w:spacing w:val="6"/>
          <w:sz w:val="24"/>
          <w:highlight w:val="none"/>
        </w:rPr>
      </w:pPr>
      <w:r>
        <w:rPr>
          <w:rFonts w:hint="eastAsia" w:ascii="宋体" w:hAnsi="宋体"/>
          <w:spacing w:val="6"/>
          <w:sz w:val="24"/>
          <w:highlight w:val="none"/>
        </w:rPr>
        <w:t>本单位郑重声明，根据《财政部</w:t>
      </w:r>
      <w:r>
        <w:rPr>
          <w:rFonts w:ascii="宋体" w:hAnsi="宋体"/>
          <w:spacing w:val="6"/>
          <w:sz w:val="24"/>
          <w:highlight w:val="none"/>
        </w:rPr>
        <w:t xml:space="preserve"> </w:t>
      </w:r>
      <w:r>
        <w:rPr>
          <w:rFonts w:hint="eastAsia" w:ascii="宋体" w:hAnsi="宋体"/>
          <w:spacing w:val="6"/>
          <w:sz w:val="24"/>
          <w:highlight w:val="none"/>
        </w:rPr>
        <w:t>民政部</w:t>
      </w:r>
      <w:r>
        <w:rPr>
          <w:rFonts w:ascii="宋体" w:hAnsi="宋体"/>
          <w:spacing w:val="6"/>
          <w:sz w:val="24"/>
          <w:highlight w:val="none"/>
        </w:rPr>
        <w:t xml:space="preserve"> </w:t>
      </w:r>
      <w:r>
        <w:rPr>
          <w:rFonts w:hint="eastAsia" w:ascii="宋体" w:hAnsi="宋体"/>
          <w:spacing w:val="6"/>
          <w:sz w:val="24"/>
          <w:highlight w:val="none"/>
        </w:rPr>
        <w:t>中国残疾人联合会关于促进残疾人就业政府采购政策的通知》（财库</w:t>
      </w:r>
      <w:r>
        <w:rPr>
          <w:rFonts w:hint="eastAsia" w:ascii="宋体" w:hAnsi="宋体"/>
          <w:sz w:val="24"/>
          <w:highlight w:val="none"/>
        </w:rPr>
        <w:t>〔</w:t>
      </w:r>
      <w:r>
        <w:rPr>
          <w:rFonts w:ascii="宋体" w:hAnsi="宋体"/>
          <w:sz w:val="24"/>
          <w:highlight w:val="none"/>
        </w:rPr>
        <w:t>2017</w:t>
      </w:r>
      <w:r>
        <w:rPr>
          <w:rFonts w:hint="eastAsia" w:ascii="宋体" w:hAnsi="宋体"/>
          <w:sz w:val="24"/>
          <w:highlight w:val="none"/>
        </w:rPr>
        <w:t>〕</w:t>
      </w:r>
      <w:r>
        <w:rPr>
          <w:rFonts w:ascii="宋体" w:hAnsi="宋体"/>
          <w:sz w:val="24"/>
          <w:highlight w:val="none"/>
        </w:rPr>
        <w:t>141</w:t>
      </w:r>
      <w:r>
        <w:rPr>
          <w:rFonts w:hint="eastAsia" w:ascii="宋体" w:hAnsi="宋体"/>
          <w:spacing w:val="6"/>
          <w:sz w:val="24"/>
          <w:highlight w:val="none"/>
        </w:rPr>
        <w:t>号）的规定，本单位为符合条件的残疾人福利性单位，且本单位参加</w:t>
      </w:r>
      <w:r>
        <w:rPr>
          <w:rFonts w:ascii="宋体" w:hAnsi="宋体"/>
          <w:spacing w:val="6"/>
          <w:sz w:val="24"/>
          <w:highlight w:val="none"/>
        </w:rPr>
        <w:t>______</w:t>
      </w:r>
      <w:r>
        <w:rPr>
          <w:rFonts w:hint="eastAsia" w:ascii="宋体" w:hAnsi="宋体"/>
          <w:spacing w:val="6"/>
          <w:sz w:val="24"/>
          <w:highlight w:val="none"/>
        </w:rPr>
        <w:t>单位的</w:t>
      </w:r>
      <w:r>
        <w:rPr>
          <w:rFonts w:ascii="宋体" w:hAnsi="宋体"/>
          <w:spacing w:val="6"/>
          <w:sz w:val="24"/>
          <w:highlight w:val="none"/>
        </w:rPr>
        <w:t>______</w:t>
      </w:r>
      <w:r>
        <w:rPr>
          <w:rFonts w:hint="eastAsia" w:ascii="宋体" w:hAnsi="宋体"/>
          <w:spacing w:val="6"/>
          <w:sz w:val="24"/>
          <w:highlight w:val="none"/>
        </w:rPr>
        <w:t>项目采购活动提供本单位制造的</w:t>
      </w:r>
      <w:r>
        <w:rPr>
          <w:rFonts w:hint="eastAsia" w:ascii="宋体" w:hAnsi="宋体"/>
          <w:spacing w:val="6"/>
          <w:sz w:val="24"/>
          <w:highlight w:val="none"/>
          <w:lang w:val="en-US" w:eastAsia="zh-CN"/>
        </w:rPr>
        <w:t>服务</w:t>
      </w:r>
      <w:r>
        <w:rPr>
          <w:rFonts w:hint="eastAsia" w:ascii="宋体" w:hAnsi="宋体"/>
          <w:spacing w:val="6"/>
          <w:sz w:val="24"/>
          <w:highlight w:val="none"/>
        </w:rPr>
        <w:t>（由本单位承担工程</w:t>
      </w:r>
      <w:r>
        <w:rPr>
          <w:rFonts w:ascii="宋体" w:hAnsi="宋体"/>
          <w:spacing w:val="6"/>
          <w:sz w:val="24"/>
          <w:highlight w:val="none"/>
        </w:rPr>
        <w:t>/</w:t>
      </w:r>
      <w:r>
        <w:rPr>
          <w:rFonts w:hint="eastAsia" w:ascii="宋体" w:hAnsi="宋体"/>
          <w:spacing w:val="6"/>
          <w:sz w:val="24"/>
          <w:highlight w:val="none"/>
        </w:rPr>
        <w:t>提供</w:t>
      </w:r>
      <w:r>
        <w:rPr>
          <w:rFonts w:hint="eastAsia" w:ascii="宋体" w:hAnsi="宋体"/>
          <w:spacing w:val="6"/>
          <w:sz w:val="24"/>
          <w:highlight w:val="none"/>
          <w:lang w:val="en-US" w:eastAsia="zh-CN"/>
        </w:rPr>
        <w:t>货物</w:t>
      </w:r>
      <w:r>
        <w:rPr>
          <w:rFonts w:hint="eastAsia" w:ascii="宋体" w:hAnsi="宋体"/>
          <w:spacing w:val="6"/>
          <w:sz w:val="24"/>
          <w:highlight w:val="none"/>
        </w:rPr>
        <w:t>），或者提供其他残疾人福利性单位制造的货物（不包括使用非残疾人福利性单位注册商标的货物）。</w:t>
      </w:r>
    </w:p>
    <w:p>
      <w:pPr>
        <w:keepNext w:val="0"/>
        <w:keepLines w:val="0"/>
        <w:pageBreakBefore w:val="0"/>
        <w:widowControl w:val="0"/>
        <w:kinsoku/>
        <w:wordWrap/>
        <w:overflowPunct/>
        <w:topLinePunct w:val="0"/>
        <w:bidi w:val="0"/>
        <w:spacing w:line="360" w:lineRule="auto"/>
        <w:ind w:firstLine="504" w:firstLineChars="200"/>
        <w:jc w:val="left"/>
        <w:rPr>
          <w:rFonts w:hint="eastAsia" w:ascii="宋体" w:hAnsi="宋体" w:cs="宋体"/>
          <w:kern w:val="0"/>
          <w:sz w:val="24"/>
          <w:highlight w:val="none"/>
        </w:rPr>
      </w:pPr>
      <w:r>
        <w:rPr>
          <w:rFonts w:hint="eastAsia" w:ascii="宋体" w:hAnsi="宋体"/>
          <w:spacing w:val="6"/>
          <w:sz w:val="24"/>
          <w:highlight w:val="none"/>
        </w:rPr>
        <w:t>本单位对上述声明的真实性负责。如有虚假，将依法承担相应责任。</w:t>
      </w:r>
    </w:p>
    <w:p>
      <w:pPr>
        <w:keepNext w:val="0"/>
        <w:keepLines w:val="0"/>
        <w:pageBreakBefore w:val="0"/>
        <w:widowControl w:val="0"/>
        <w:kinsoku/>
        <w:wordWrap/>
        <w:overflowPunct/>
        <w:topLinePunct w:val="0"/>
        <w:bidi w:val="0"/>
        <w:spacing w:line="360" w:lineRule="auto"/>
        <w:jc w:val="left"/>
        <w:rPr>
          <w:rFonts w:hint="eastAsia" w:ascii="宋体" w:hAnsi="宋体" w:cs="宋体"/>
          <w:kern w:val="0"/>
          <w:sz w:val="24"/>
          <w:highlight w:val="none"/>
        </w:rPr>
      </w:pPr>
    </w:p>
    <w:p>
      <w:pPr>
        <w:keepNext w:val="0"/>
        <w:keepLines w:val="0"/>
        <w:pageBreakBefore w:val="0"/>
        <w:widowControl w:val="0"/>
        <w:kinsoku/>
        <w:wordWrap/>
        <w:overflowPunct/>
        <w:topLinePunct w:val="0"/>
        <w:bidi w:val="0"/>
        <w:spacing w:line="360" w:lineRule="auto"/>
        <w:jc w:val="left"/>
        <w:rPr>
          <w:rFonts w:hint="eastAsia" w:ascii="宋体" w:hAnsi="宋体" w:cs="宋体"/>
          <w:kern w:val="0"/>
          <w:sz w:val="24"/>
          <w:highlight w:val="none"/>
        </w:rPr>
      </w:pPr>
    </w:p>
    <w:p>
      <w:pPr>
        <w:keepNext w:val="0"/>
        <w:keepLines w:val="0"/>
        <w:pageBreakBefore w:val="0"/>
        <w:widowControl w:val="0"/>
        <w:kinsoku/>
        <w:wordWrap/>
        <w:overflowPunct/>
        <w:topLinePunct w:val="0"/>
        <w:bidi w:val="0"/>
        <w:spacing w:line="360" w:lineRule="auto"/>
        <w:jc w:val="left"/>
        <w:rPr>
          <w:rFonts w:hint="eastAsia" w:ascii="宋体" w:hAnsi="宋体" w:cs="宋体"/>
          <w:kern w:val="0"/>
          <w:sz w:val="24"/>
          <w:highlight w:val="none"/>
        </w:rPr>
      </w:pPr>
    </w:p>
    <w:p>
      <w:pPr>
        <w:keepNext w:val="0"/>
        <w:keepLines w:val="0"/>
        <w:pageBreakBefore w:val="0"/>
        <w:widowControl w:val="0"/>
        <w:kinsoku/>
        <w:wordWrap/>
        <w:overflowPunct/>
        <w:topLinePunct w:val="0"/>
        <w:bidi w:val="0"/>
        <w:spacing w:line="360" w:lineRule="auto"/>
        <w:jc w:val="left"/>
        <w:rPr>
          <w:rFonts w:hint="eastAsia" w:ascii="宋体" w:hAnsi="宋体" w:cs="宋体"/>
          <w:kern w:val="0"/>
          <w:sz w:val="24"/>
          <w:highlight w:val="none"/>
        </w:rPr>
      </w:pPr>
    </w:p>
    <w:p>
      <w:pPr>
        <w:keepNext w:val="0"/>
        <w:keepLines w:val="0"/>
        <w:pageBreakBefore w:val="0"/>
        <w:widowControl w:val="0"/>
        <w:kinsoku/>
        <w:wordWrap/>
        <w:overflowPunct/>
        <w:topLinePunct w:val="0"/>
        <w:bidi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　　</w:t>
      </w:r>
    </w:p>
    <w:p>
      <w:pPr>
        <w:keepNext w:val="0"/>
        <w:keepLines w:val="0"/>
        <w:pageBreakBefore w:val="0"/>
        <w:widowControl w:val="0"/>
        <w:kinsoku/>
        <w:wordWrap/>
        <w:overflowPunct/>
        <w:topLinePunct w:val="0"/>
        <w:bidi w:val="0"/>
        <w:spacing w:line="360" w:lineRule="auto"/>
        <w:ind w:firstLine="480" w:firstLineChars="200"/>
        <w:jc w:val="left"/>
        <w:rPr>
          <w:rFonts w:hint="eastAsia" w:ascii="宋体" w:hAnsi="宋体"/>
          <w:sz w:val="24"/>
          <w:highlight w:val="none"/>
        </w:rPr>
      </w:pPr>
      <w:r>
        <w:rPr>
          <w:rFonts w:hint="eastAsia" w:ascii="宋体" w:hAnsi="宋体"/>
          <w:sz w:val="24"/>
          <w:highlight w:val="none"/>
        </w:rPr>
        <w:t>单位名称：XXXX（盖单位公章）</w:t>
      </w:r>
    </w:p>
    <w:p>
      <w:pPr>
        <w:keepNext w:val="0"/>
        <w:keepLines w:val="0"/>
        <w:pageBreakBefore w:val="0"/>
        <w:widowControl w:val="0"/>
        <w:kinsoku/>
        <w:wordWrap/>
        <w:overflowPunct/>
        <w:topLinePunct w:val="0"/>
        <w:bidi w:val="0"/>
        <w:spacing w:line="360" w:lineRule="auto"/>
        <w:ind w:firstLine="480" w:firstLineChars="200"/>
        <w:jc w:val="left"/>
        <w:rPr>
          <w:rFonts w:hint="eastAsia" w:ascii="宋体" w:hAnsi="宋体"/>
          <w:sz w:val="24"/>
          <w:highlight w:val="none"/>
        </w:rPr>
      </w:pPr>
      <w:r>
        <w:rPr>
          <w:rFonts w:hint="eastAsia" w:ascii="宋体" w:hAnsi="宋体"/>
          <w:sz w:val="24"/>
          <w:highlight w:val="none"/>
        </w:rPr>
        <w:t>法定代表人或授权代表（签字）：XXXX</w:t>
      </w:r>
    </w:p>
    <w:p>
      <w:pPr>
        <w:keepNext w:val="0"/>
        <w:keepLines w:val="0"/>
        <w:pageBreakBefore w:val="0"/>
        <w:widowControl w:val="0"/>
        <w:kinsoku/>
        <w:wordWrap/>
        <w:overflowPunct/>
        <w:topLinePunct w:val="0"/>
        <w:bidi w:val="0"/>
        <w:spacing w:line="360" w:lineRule="auto"/>
        <w:ind w:firstLine="480" w:firstLineChars="200"/>
        <w:jc w:val="left"/>
        <w:rPr>
          <w:rFonts w:hint="eastAsia" w:ascii="宋体" w:hAnsi="宋体"/>
          <w:sz w:val="24"/>
          <w:highlight w:val="none"/>
        </w:rPr>
      </w:pPr>
      <w:r>
        <w:rPr>
          <w:rFonts w:hint="eastAsia" w:ascii="宋体" w:hAnsi="宋体"/>
          <w:sz w:val="24"/>
          <w:highlight w:val="none"/>
        </w:rPr>
        <w:t>日期：XXXX</w:t>
      </w:r>
    </w:p>
    <w:p>
      <w:pPr>
        <w:keepNext w:val="0"/>
        <w:keepLines w:val="0"/>
        <w:pageBreakBefore w:val="0"/>
        <w:widowControl w:val="0"/>
        <w:kinsoku/>
        <w:wordWrap/>
        <w:overflowPunct/>
        <w:topLinePunct w:val="0"/>
        <w:bidi w:val="0"/>
        <w:spacing w:line="400" w:lineRule="exact"/>
        <w:ind w:firstLine="480" w:firstLineChars="200"/>
        <w:jc w:val="left"/>
        <w:rPr>
          <w:rFonts w:asciiTheme="minorEastAsia" w:hAnsiTheme="minorEastAsia"/>
          <w:sz w:val="24"/>
          <w:highlight w:val="none"/>
        </w:rPr>
      </w:pPr>
    </w:p>
    <w:p>
      <w:pPr>
        <w:pStyle w:val="10"/>
        <w:keepNext w:val="0"/>
        <w:keepLines w:val="0"/>
        <w:pageBreakBefore w:val="0"/>
        <w:widowControl w:val="0"/>
        <w:tabs>
          <w:tab w:val="left" w:pos="0"/>
        </w:tabs>
        <w:kinsoku/>
        <w:wordWrap/>
        <w:overflowPunct/>
        <w:topLinePunct w:val="0"/>
        <w:bidi w:val="0"/>
        <w:jc w:val="center"/>
        <w:rPr>
          <w:rFonts w:hint="eastAsia" w:ascii="仿宋_GB2312" w:hAnsi="宋体" w:eastAsia="仿宋_GB2312"/>
          <w:b/>
          <w:sz w:val="32"/>
          <w:szCs w:val="32"/>
          <w:highlight w:val="none"/>
        </w:rPr>
      </w:pPr>
    </w:p>
    <w:p>
      <w:pPr>
        <w:pStyle w:val="10"/>
        <w:keepNext w:val="0"/>
        <w:keepLines w:val="0"/>
        <w:pageBreakBefore w:val="0"/>
        <w:widowControl w:val="0"/>
        <w:tabs>
          <w:tab w:val="left" w:pos="0"/>
        </w:tabs>
        <w:kinsoku/>
        <w:wordWrap/>
        <w:overflowPunct/>
        <w:topLinePunct w:val="0"/>
        <w:bidi w:val="0"/>
        <w:jc w:val="center"/>
        <w:rPr>
          <w:rFonts w:hint="eastAsia" w:ascii="仿宋_GB2312" w:hAnsi="宋体" w:eastAsia="仿宋_GB2312"/>
          <w:b/>
          <w:sz w:val="32"/>
          <w:szCs w:val="32"/>
          <w:highlight w:val="none"/>
        </w:rPr>
      </w:pPr>
    </w:p>
    <w:p>
      <w:pPr>
        <w:pStyle w:val="10"/>
        <w:keepNext w:val="0"/>
        <w:keepLines w:val="0"/>
        <w:pageBreakBefore w:val="0"/>
        <w:widowControl w:val="0"/>
        <w:tabs>
          <w:tab w:val="left" w:pos="0"/>
        </w:tabs>
        <w:kinsoku/>
        <w:wordWrap/>
        <w:overflowPunct/>
        <w:topLinePunct w:val="0"/>
        <w:bidi w:val="0"/>
        <w:jc w:val="center"/>
        <w:rPr>
          <w:rFonts w:hint="eastAsia" w:ascii="仿宋_GB2312" w:hAnsi="宋体" w:eastAsia="仿宋_GB2312"/>
          <w:b/>
          <w:sz w:val="32"/>
          <w:szCs w:val="32"/>
          <w:highlight w:val="none"/>
        </w:rPr>
      </w:pPr>
    </w:p>
    <w:p>
      <w:pPr>
        <w:pStyle w:val="10"/>
        <w:keepNext w:val="0"/>
        <w:keepLines w:val="0"/>
        <w:pageBreakBefore w:val="0"/>
        <w:widowControl w:val="0"/>
        <w:tabs>
          <w:tab w:val="left" w:pos="0"/>
        </w:tabs>
        <w:kinsoku/>
        <w:wordWrap/>
        <w:overflowPunct/>
        <w:topLinePunct w:val="0"/>
        <w:bidi w:val="0"/>
        <w:jc w:val="center"/>
        <w:rPr>
          <w:rFonts w:hint="eastAsia" w:ascii="仿宋_GB2312" w:hAnsi="宋体" w:eastAsia="仿宋_GB2312"/>
          <w:b/>
          <w:sz w:val="32"/>
          <w:szCs w:val="32"/>
          <w:highlight w:val="none"/>
        </w:rPr>
      </w:pPr>
    </w:p>
    <w:p>
      <w:pPr>
        <w:pStyle w:val="10"/>
        <w:keepNext w:val="0"/>
        <w:keepLines w:val="0"/>
        <w:pageBreakBefore w:val="0"/>
        <w:widowControl w:val="0"/>
        <w:tabs>
          <w:tab w:val="left" w:pos="0"/>
        </w:tabs>
        <w:kinsoku/>
        <w:wordWrap/>
        <w:overflowPunct/>
        <w:topLinePunct w:val="0"/>
        <w:bidi w:val="0"/>
        <w:jc w:val="center"/>
        <w:rPr>
          <w:rFonts w:hint="eastAsia" w:ascii="仿宋_GB2312" w:hAnsi="宋体" w:eastAsia="仿宋_GB2312"/>
          <w:b/>
          <w:sz w:val="32"/>
          <w:szCs w:val="32"/>
          <w:highlight w:val="none"/>
        </w:rPr>
      </w:pPr>
    </w:p>
    <w:p>
      <w:pPr>
        <w:pStyle w:val="10"/>
        <w:keepNext w:val="0"/>
        <w:keepLines w:val="0"/>
        <w:pageBreakBefore w:val="0"/>
        <w:widowControl w:val="0"/>
        <w:tabs>
          <w:tab w:val="left" w:pos="0"/>
        </w:tabs>
        <w:kinsoku/>
        <w:wordWrap/>
        <w:overflowPunct/>
        <w:topLinePunct w:val="0"/>
        <w:bidi w:val="0"/>
        <w:ind w:left="0" w:leftChars="0" w:firstLine="0" w:firstLineChars="0"/>
        <w:jc w:val="both"/>
        <w:rPr>
          <w:rFonts w:hint="eastAsia" w:ascii="仿宋_GB2312" w:hAnsi="宋体" w:eastAsia="仿宋_GB2312"/>
          <w:b/>
          <w:sz w:val="32"/>
          <w:szCs w:val="32"/>
          <w:highlight w:val="none"/>
        </w:rPr>
      </w:pPr>
    </w:p>
    <w:p>
      <w:pPr>
        <w:pStyle w:val="10"/>
        <w:keepNext w:val="0"/>
        <w:keepLines w:val="0"/>
        <w:pageBreakBefore w:val="0"/>
        <w:widowControl w:val="0"/>
        <w:tabs>
          <w:tab w:val="left" w:pos="0"/>
        </w:tabs>
        <w:kinsoku/>
        <w:wordWrap/>
        <w:overflowPunct/>
        <w:topLinePunct w:val="0"/>
        <w:bidi w:val="0"/>
        <w:ind w:left="0" w:leftChars="0" w:firstLine="0" w:firstLineChars="0"/>
        <w:jc w:val="both"/>
        <w:rPr>
          <w:rFonts w:hint="eastAsia" w:cs="Times New Roman" w:asciiTheme="majorEastAsia" w:hAnsiTheme="majorEastAsia" w:eastAsiaTheme="majorEastAsia"/>
          <w:b/>
          <w:bCs/>
          <w:kern w:val="2"/>
          <w:sz w:val="28"/>
          <w:szCs w:val="32"/>
          <w:highlight w:val="none"/>
          <w:lang w:val="en-US" w:eastAsia="zh-CN" w:bidi="ar-SA"/>
        </w:rPr>
      </w:pPr>
    </w:p>
    <w:p>
      <w:pPr>
        <w:pStyle w:val="10"/>
        <w:keepNext w:val="0"/>
        <w:keepLines w:val="0"/>
        <w:pageBreakBefore w:val="0"/>
        <w:widowControl w:val="0"/>
        <w:tabs>
          <w:tab w:val="left" w:pos="0"/>
        </w:tabs>
        <w:kinsoku/>
        <w:wordWrap/>
        <w:overflowPunct/>
        <w:topLinePunct w:val="0"/>
        <w:bidi w:val="0"/>
        <w:jc w:val="center"/>
        <w:rPr>
          <w:rFonts w:hint="eastAsia" w:cs="Times New Roman" w:asciiTheme="majorEastAsia" w:hAnsiTheme="majorEastAsia" w:eastAsiaTheme="majorEastAsia"/>
          <w:b/>
          <w:bCs/>
          <w:kern w:val="2"/>
          <w:sz w:val="28"/>
          <w:szCs w:val="32"/>
          <w:highlight w:val="none"/>
          <w:lang w:val="en-US" w:eastAsia="zh-CN" w:bidi="ar-SA"/>
        </w:rPr>
      </w:pPr>
      <w:r>
        <w:rPr>
          <w:rFonts w:hint="eastAsia" w:cs="Times New Roman" w:asciiTheme="majorEastAsia" w:hAnsiTheme="majorEastAsia" w:eastAsiaTheme="majorEastAsia"/>
          <w:b/>
          <w:bCs/>
          <w:kern w:val="2"/>
          <w:sz w:val="28"/>
          <w:szCs w:val="32"/>
          <w:highlight w:val="none"/>
          <w:lang w:val="en-US" w:eastAsia="zh-CN" w:bidi="ar-SA"/>
        </w:rPr>
        <w:t>（八）应答表</w:t>
      </w:r>
    </w:p>
    <w:p>
      <w:pPr>
        <w:pStyle w:val="13"/>
        <w:keepNext w:val="0"/>
        <w:keepLines w:val="0"/>
        <w:pageBreakBefore w:val="0"/>
        <w:widowControl w:val="0"/>
        <w:pBdr>
          <w:bottom w:val="none" w:color="auto" w:sz="0" w:space="0"/>
        </w:pBdr>
        <w:tabs>
          <w:tab w:val="clear" w:pos="4153"/>
          <w:tab w:val="clear" w:pos="8306"/>
        </w:tabs>
        <w:kinsoku/>
        <w:wordWrap/>
        <w:overflowPunct/>
        <w:topLinePunct w:val="0"/>
        <w:bidi w:val="0"/>
        <w:snapToGrid/>
        <w:ind w:firstLine="600" w:firstLineChars="250"/>
        <w:jc w:val="both"/>
        <w:rPr>
          <w:rFonts w:ascii="宋体" w:hAnsi="宋体"/>
          <w:sz w:val="24"/>
          <w:szCs w:val="24"/>
          <w:highlight w:val="none"/>
        </w:rPr>
      </w:pPr>
    </w:p>
    <w:tbl>
      <w:tblPr>
        <w:tblStyle w:val="18"/>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2742"/>
        <w:gridCol w:w="2693"/>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02" w:type="dxa"/>
            <w:vAlign w:val="center"/>
          </w:tcPr>
          <w:p>
            <w:pPr>
              <w:keepNext w:val="0"/>
              <w:keepLines w:val="0"/>
              <w:pageBreakBefore w:val="0"/>
              <w:widowControl w:val="0"/>
              <w:kinsoku/>
              <w:wordWrap/>
              <w:overflowPunct/>
              <w:topLinePunct w:val="0"/>
              <w:bidi w:val="0"/>
              <w:jc w:val="center"/>
              <w:rPr>
                <w:rFonts w:ascii="宋体" w:hAnsi="宋体"/>
                <w:color w:val="000000"/>
                <w:sz w:val="24"/>
                <w:highlight w:val="none"/>
              </w:rPr>
            </w:pPr>
            <w:r>
              <w:rPr>
                <w:rFonts w:hint="eastAsia" w:ascii="宋体" w:hAnsi="宋体"/>
                <w:color w:val="000000"/>
                <w:sz w:val="24"/>
                <w:highlight w:val="none"/>
              </w:rPr>
              <w:t>序号</w:t>
            </w:r>
          </w:p>
        </w:tc>
        <w:tc>
          <w:tcPr>
            <w:tcW w:w="2742" w:type="dxa"/>
            <w:vAlign w:val="center"/>
          </w:tcPr>
          <w:p>
            <w:pPr>
              <w:keepNext w:val="0"/>
              <w:keepLines w:val="0"/>
              <w:pageBreakBefore w:val="0"/>
              <w:widowControl w:val="0"/>
              <w:kinsoku/>
              <w:wordWrap/>
              <w:overflowPunct/>
              <w:topLinePunct w:val="0"/>
              <w:bidi w:val="0"/>
              <w:jc w:val="center"/>
              <w:rPr>
                <w:rFonts w:ascii="宋体" w:hAnsi="宋体"/>
                <w:color w:val="000000"/>
                <w:sz w:val="24"/>
                <w:highlight w:val="none"/>
              </w:rPr>
            </w:pPr>
            <w:r>
              <w:rPr>
                <w:rFonts w:hint="eastAsia" w:ascii="宋体" w:hAnsi="宋体"/>
                <w:color w:val="000000"/>
                <w:sz w:val="24"/>
                <w:highlight w:val="none"/>
              </w:rPr>
              <w:t>采购文件要求</w:t>
            </w:r>
          </w:p>
        </w:tc>
        <w:tc>
          <w:tcPr>
            <w:tcW w:w="2693" w:type="dxa"/>
            <w:vAlign w:val="center"/>
          </w:tcPr>
          <w:p>
            <w:pPr>
              <w:keepNext w:val="0"/>
              <w:keepLines w:val="0"/>
              <w:pageBreakBefore w:val="0"/>
              <w:widowControl w:val="0"/>
              <w:kinsoku/>
              <w:wordWrap/>
              <w:overflowPunct/>
              <w:topLinePunct w:val="0"/>
              <w:bidi w:val="0"/>
              <w:jc w:val="center"/>
              <w:rPr>
                <w:rFonts w:ascii="宋体" w:hAnsi="宋体"/>
                <w:color w:val="000000"/>
                <w:sz w:val="24"/>
                <w:highlight w:val="none"/>
              </w:rPr>
            </w:pPr>
            <w:r>
              <w:rPr>
                <w:rFonts w:hint="eastAsia" w:ascii="宋体" w:hAnsi="宋体"/>
                <w:color w:val="000000"/>
                <w:sz w:val="24"/>
                <w:highlight w:val="none"/>
              </w:rPr>
              <w:t>响应文件响应</w:t>
            </w:r>
          </w:p>
        </w:tc>
        <w:tc>
          <w:tcPr>
            <w:tcW w:w="2127" w:type="dxa"/>
            <w:vAlign w:val="center"/>
          </w:tcPr>
          <w:p>
            <w:pPr>
              <w:keepNext w:val="0"/>
              <w:keepLines w:val="0"/>
              <w:pageBreakBefore w:val="0"/>
              <w:widowControl w:val="0"/>
              <w:kinsoku/>
              <w:wordWrap/>
              <w:overflowPunct/>
              <w:topLinePunct w:val="0"/>
              <w:bidi w:val="0"/>
              <w:jc w:val="center"/>
              <w:rPr>
                <w:rFonts w:ascii="宋体" w:hAnsi="宋体"/>
                <w:color w:val="000000"/>
                <w:sz w:val="24"/>
                <w:highlight w:val="none"/>
              </w:rPr>
            </w:pPr>
            <w:r>
              <w:rPr>
                <w:rFonts w:hint="eastAsia" w:ascii="宋体" w:hAnsi="宋体"/>
                <w:color w:val="000000"/>
                <w:sz w:val="24"/>
                <w:highlight w:val="none"/>
              </w:rPr>
              <w:t>正（或负）偏离或完全响应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802" w:type="dxa"/>
          </w:tcPr>
          <w:p>
            <w:pPr>
              <w:keepNext w:val="0"/>
              <w:keepLines w:val="0"/>
              <w:pageBreakBefore w:val="0"/>
              <w:widowControl w:val="0"/>
              <w:kinsoku/>
              <w:wordWrap/>
              <w:overflowPunct/>
              <w:topLinePunct w:val="0"/>
              <w:bidi w:val="0"/>
              <w:jc w:val="center"/>
              <w:rPr>
                <w:rFonts w:ascii="宋体" w:hAnsi="宋体"/>
                <w:color w:val="000000"/>
                <w:sz w:val="24"/>
                <w:highlight w:val="none"/>
              </w:rPr>
            </w:pPr>
          </w:p>
        </w:tc>
        <w:tc>
          <w:tcPr>
            <w:tcW w:w="2742" w:type="dxa"/>
          </w:tcPr>
          <w:p>
            <w:pPr>
              <w:keepNext w:val="0"/>
              <w:keepLines w:val="0"/>
              <w:pageBreakBefore w:val="0"/>
              <w:widowControl w:val="0"/>
              <w:kinsoku/>
              <w:wordWrap/>
              <w:overflowPunct/>
              <w:topLinePunct w:val="0"/>
              <w:bidi w:val="0"/>
              <w:jc w:val="center"/>
              <w:rPr>
                <w:rFonts w:ascii="宋体" w:hAnsi="宋体"/>
                <w:color w:val="000000"/>
                <w:sz w:val="24"/>
                <w:highlight w:val="none"/>
              </w:rPr>
            </w:pPr>
          </w:p>
        </w:tc>
        <w:tc>
          <w:tcPr>
            <w:tcW w:w="2693" w:type="dxa"/>
          </w:tcPr>
          <w:p>
            <w:pPr>
              <w:keepNext w:val="0"/>
              <w:keepLines w:val="0"/>
              <w:pageBreakBefore w:val="0"/>
              <w:widowControl w:val="0"/>
              <w:kinsoku/>
              <w:wordWrap/>
              <w:overflowPunct/>
              <w:topLinePunct w:val="0"/>
              <w:bidi w:val="0"/>
              <w:jc w:val="center"/>
              <w:rPr>
                <w:rFonts w:ascii="宋体" w:hAnsi="宋体"/>
                <w:color w:val="000000"/>
                <w:sz w:val="24"/>
                <w:highlight w:val="none"/>
              </w:rPr>
            </w:pPr>
          </w:p>
        </w:tc>
        <w:tc>
          <w:tcPr>
            <w:tcW w:w="2127" w:type="dxa"/>
          </w:tcPr>
          <w:p>
            <w:pPr>
              <w:keepNext w:val="0"/>
              <w:keepLines w:val="0"/>
              <w:pageBreakBefore w:val="0"/>
              <w:widowControl w:val="0"/>
              <w:kinsoku/>
              <w:wordWrap/>
              <w:overflowPunct/>
              <w:topLinePunct w:val="0"/>
              <w:bidi w:val="0"/>
              <w:jc w:val="center"/>
              <w:rPr>
                <w:rFonts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802" w:type="dxa"/>
          </w:tcPr>
          <w:p>
            <w:pPr>
              <w:keepNext w:val="0"/>
              <w:keepLines w:val="0"/>
              <w:pageBreakBefore w:val="0"/>
              <w:widowControl w:val="0"/>
              <w:kinsoku/>
              <w:wordWrap/>
              <w:overflowPunct/>
              <w:topLinePunct w:val="0"/>
              <w:bidi w:val="0"/>
              <w:jc w:val="center"/>
              <w:rPr>
                <w:rFonts w:ascii="宋体" w:hAnsi="宋体"/>
                <w:color w:val="000000"/>
                <w:sz w:val="24"/>
                <w:highlight w:val="none"/>
              </w:rPr>
            </w:pPr>
          </w:p>
        </w:tc>
        <w:tc>
          <w:tcPr>
            <w:tcW w:w="2742" w:type="dxa"/>
          </w:tcPr>
          <w:p>
            <w:pPr>
              <w:keepNext w:val="0"/>
              <w:keepLines w:val="0"/>
              <w:pageBreakBefore w:val="0"/>
              <w:widowControl w:val="0"/>
              <w:kinsoku/>
              <w:wordWrap/>
              <w:overflowPunct/>
              <w:topLinePunct w:val="0"/>
              <w:bidi w:val="0"/>
              <w:jc w:val="center"/>
              <w:rPr>
                <w:rFonts w:ascii="宋体" w:hAnsi="宋体"/>
                <w:color w:val="000000"/>
                <w:sz w:val="24"/>
                <w:highlight w:val="none"/>
              </w:rPr>
            </w:pPr>
          </w:p>
        </w:tc>
        <w:tc>
          <w:tcPr>
            <w:tcW w:w="2693" w:type="dxa"/>
          </w:tcPr>
          <w:p>
            <w:pPr>
              <w:keepNext w:val="0"/>
              <w:keepLines w:val="0"/>
              <w:pageBreakBefore w:val="0"/>
              <w:widowControl w:val="0"/>
              <w:kinsoku/>
              <w:wordWrap/>
              <w:overflowPunct/>
              <w:topLinePunct w:val="0"/>
              <w:bidi w:val="0"/>
              <w:jc w:val="center"/>
              <w:rPr>
                <w:rFonts w:ascii="宋体" w:hAnsi="宋体"/>
                <w:color w:val="000000"/>
                <w:sz w:val="24"/>
                <w:highlight w:val="none"/>
              </w:rPr>
            </w:pPr>
          </w:p>
        </w:tc>
        <w:tc>
          <w:tcPr>
            <w:tcW w:w="2127" w:type="dxa"/>
          </w:tcPr>
          <w:p>
            <w:pPr>
              <w:keepNext w:val="0"/>
              <w:keepLines w:val="0"/>
              <w:pageBreakBefore w:val="0"/>
              <w:widowControl w:val="0"/>
              <w:kinsoku/>
              <w:wordWrap/>
              <w:overflowPunct/>
              <w:topLinePunct w:val="0"/>
              <w:bidi w:val="0"/>
              <w:jc w:val="center"/>
              <w:rPr>
                <w:rFonts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802" w:type="dxa"/>
          </w:tcPr>
          <w:p>
            <w:pPr>
              <w:keepNext w:val="0"/>
              <w:keepLines w:val="0"/>
              <w:pageBreakBefore w:val="0"/>
              <w:widowControl w:val="0"/>
              <w:kinsoku/>
              <w:wordWrap/>
              <w:overflowPunct/>
              <w:topLinePunct w:val="0"/>
              <w:bidi w:val="0"/>
              <w:jc w:val="center"/>
              <w:rPr>
                <w:rFonts w:ascii="宋体" w:hAnsi="宋体"/>
                <w:color w:val="000000"/>
                <w:sz w:val="24"/>
                <w:highlight w:val="none"/>
              </w:rPr>
            </w:pPr>
          </w:p>
        </w:tc>
        <w:tc>
          <w:tcPr>
            <w:tcW w:w="2742" w:type="dxa"/>
          </w:tcPr>
          <w:p>
            <w:pPr>
              <w:keepNext w:val="0"/>
              <w:keepLines w:val="0"/>
              <w:pageBreakBefore w:val="0"/>
              <w:widowControl w:val="0"/>
              <w:kinsoku/>
              <w:wordWrap/>
              <w:overflowPunct/>
              <w:topLinePunct w:val="0"/>
              <w:bidi w:val="0"/>
              <w:jc w:val="center"/>
              <w:rPr>
                <w:rFonts w:ascii="宋体" w:hAnsi="宋体"/>
                <w:color w:val="000000"/>
                <w:sz w:val="24"/>
                <w:highlight w:val="none"/>
              </w:rPr>
            </w:pPr>
          </w:p>
        </w:tc>
        <w:tc>
          <w:tcPr>
            <w:tcW w:w="2693" w:type="dxa"/>
          </w:tcPr>
          <w:p>
            <w:pPr>
              <w:keepNext w:val="0"/>
              <w:keepLines w:val="0"/>
              <w:pageBreakBefore w:val="0"/>
              <w:widowControl w:val="0"/>
              <w:kinsoku/>
              <w:wordWrap/>
              <w:overflowPunct/>
              <w:topLinePunct w:val="0"/>
              <w:bidi w:val="0"/>
              <w:jc w:val="center"/>
              <w:rPr>
                <w:rFonts w:ascii="宋体" w:hAnsi="宋体"/>
                <w:color w:val="000000"/>
                <w:sz w:val="24"/>
                <w:highlight w:val="none"/>
              </w:rPr>
            </w:pPr>
          </w:p>
        </w:tc>
        <w:tc>
          <w:tcPr>
            <w:tcW w:w="2127" w:type="dxa"/>
          </w:tcPr>
          <w:p>
            <w:pPr>
              <w:keepNext w:val="0"/>
              <w:keepLines w:val="0"/>
              <w:pageBreakBefore w:val="0"/>
              <w:widowControl w:val="0"/>
              <w:kinsoku/>
              <w:wordWrap/>
              <w:overflowPunct/>
              <w:topLinePunct w:val="0"/>
              <w:bidi w:val="0"/>
              <w:jc w:val="center"/>
              <w:rPr>
                <w:rFonts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802" w:type="dxa"/>
          </w:tcPr>
          <w:p>
            <w:pPr>
              <w:keepNext w:val="0"/>
              <w:keepLines w:val="0"/>
              <w:pageBreakBefore w:val="0"/>
              <w:widowControl w:val="0"/>
              <w:kinsoku/>
              <w:wordWrap/>
              <w:overflowPunct/>
              <w:topLinePunct w:val="0"/>
              <w:bidi w:val="0"/>
              <w:jc w:val="center"/>
              <w:rPr>
                <w:rFonts w:ascii="宋体" w:hAnsi="宋体"/>
                <w:color w:val="000000"/>
                <w:sz w:val="24"/>
                <w:highlight w:val="none"/>
              </w:rPr>
            </w:pPr>
          </w:p>
        </w:tc>
        <w:tc>
          <w:tcPr>
            <w:tcW w:w="2742" w:type="dxa"/>
          </w:tcPr>
          <w:p>
            <w:pPr>
              <w:keepNext w:val="0"/>
              <w:keepLines w:val="0"/>
              <w:pageBreakBefore w:val="0"/>
              <w:widowControl w:val="0"/>
              <w:kinsoku/>
              <w:wordWrap/>
              <w:overflowPunct/>
              <w:topLinePunct w:val="0"/>
              <w:bidi w:val="0"/>
              <w:jc w:val="center"/>
              <w:rPr>
                <w:rFonts w:ascii="宋体" w:hAnsi="宋体"/>
                <w:color w:val="000000"/>
                <w:sz w:val="24"/>
                <w:highlight w:val="none"/>
              </w:rPr>
            </w:pPr>
          </w:p>
        </w:tc>
        <w:tc>
          <w:tcPr>
            <w:tcW w:w="2693" w:type="dxa"/>
          </w:tcPr>
          <w:p>
            <w:pPr>
              <w:keepNext w:val="0"/>
              <w:keepLines w:val="0"/>
              <w:pageBreakBefore w:val="0"/>
              <w:widowControl w:val="0"/>
              <w:kinsoku/>
              <w:wordWrap/>
              <w:overflowPunct/>
              <w:topLinePunct w:val="0"/>
              <w:bidi w:val="0"/>
              <w:jc w:val="center"/>
              <w:rPr>
                <w:rFonts w:ascii="宋体" w:hAnsi="宋体"/>
                <w:color w:val="000000"/>
                <w:sz w:val="24"/>
                <w:highlight w:val="none"/>
              </w:rPr>
            </w:pPr>
          </w:p>
        </w:tc>
        <w:tc>
          <w:tcPr>
            <w:tcW w:w="2127" w:type="dxa"/>
          </w:tcPr>
          <w:p>
            <w:pPr>
              <w:keepNext w:val="0"/>
              <w:keepLines w:val="0"/>
              <w:pageBreakBefore w:val="0"/>
              <w:widowControl w:val="0"/>
              <w:kinsoku/>
              <w:wordWrap/>
              <w:overflowPunct/>
              <w:topLinePunct w:val="0"/>
              <w:bidi w:val="0"/>
              <w:jc w:val="center"/>
              <w:rPr>
                <w:rFonts w:ascii="宋体" w:hAnsi="宋体"/>
                <w:color w:val="000000"/>
                <w:sz w:val="24"/>
                <w:highlight w:val="none"/>
              </w:rPr>
            </w:pPr>
          </w:p>
        </w:tc>
      </w:tr>
    </w:tbl>
    <w:p>
      <w:pPr>
        <w:keepNext w:val="0"/>
        <w:keepLines w:val="0"/>
        <w:pageBreakBefore w:val="0"/>
        <w:widowControl w:val="0"/>
        <w:kinsoku/>
        <w:wordWrap/>
        <w:overflowPunct/>
        <w:topLinePunct w:val="0"/>
        <w:bidi w:val="0"/>
        <w:spacing w:line="360" w:lineRule="atLeast"/>
        <w:ind w:firstLine="470" w:firstLineChars="196"/>
        <w:jc w:val="left"/>
        <w:outlineLvl w:val="1"/>
        <w:rPr>
          <w:rFonts w:ascii="宋体" w:hAnsi="宋体"/>
          <w:b/>
          <w:sz w:val="24"/>
          <w:highlight w:val="none"/>
        </w:rPr>
      </w:pPr>
      <w:r>
        <w:rPr>
          <w:rFonts w:hint="eastAsia" w:ascii="宋体" w:hAnsi="宋体"/>
          <w:sz w:val="24"/>
          <w:highlight w:val="none"/>
        </w:rPr>
        <w:t>注：</w:t>
      </w:r>
      <w:r>
        <w:rPr>
          <w:rFonts w:hint="eastAsia" w:ascii="宋体" w:hAnsi="宋体" w:eastAsia="宋体" w:cs="宋体"/>
          <w:sz w:val="24"/>
          <w:highlight w:val="none"/>
        </w:rPr>
        <w:t>1、</w:t>
      </w:r>
      <w:r>
        <w:rPr>
          <w:rFonts w:hint="eastAsia" w:ascii="宋体" w:hAnsi="宋体"/>
          <w:b/>
          <w:sz w:val="24"/>
          <w:highlight w:val="none"/>
        </w:rPr>
        <w:t>除本</w:t>
      </w:r>
      <w:r>
        <w:rPr>
          <w:rFonts w:hint="eastAsia" w:ascii="宋体" w:hAnsi="宋体"/>
          <w:b/>
          <w:sz w:val="24"/>
          <w:highlight w:val="none"/>
          <w:lang w:val="en-US" w:eastAsia="zh-CN"/>
        </w:rPr>
        <w:t>应答</w:t>
      </w:r>
      <w:r>
        <w:rPr>
          <w:rFonts w:hint="eastAsia" w:ascii="宋体" w:hAnsi="宋体"/>
          <w:b/>
          <w:sz w:val="24"/>
          <w:highlight w:val="none"/>
        </w:rPr>
        <w:t>表所列的偏离应答外，</w:t>
      </w:r>
      <w:r>
        <w:rPr>
          <w:rFonts w:hint="eastAsia" w:ascii="宋体" w:hAnsi="宋体"/>
          <w:b/>
          <w:sz w:val="24"/>
          <w:highlight w:val="none"/>
          <w:lang w:eastAsia="zh-CN"/>
        </w:rPr>
        <w:t>供应商</w:t>
      </w:r>
      <w:r>
        <w:rPr>
          <w:rFonts w:hint="eastAsia" w:ascii="宋体" w:hAnsi="宋体"/>
          <w:b/>
          <w:sz w:val="24"/>
          <w:highlight w:val="none"/>
        </w:rPr>
        <w:t>其他所有条款均完全响应“招标文件”中</w:t>
      </w:r>
      <w:r>
        <w:rPr>
          <w:rFonts w:hint="eastAsia" w:ascii="宋体" w:hAnsi="宋体"/>
          <w:b/>
          <w:sz w:val="24"/>
          <w:highlight w:val="none"/>
          <w:lang w:val="en-US" w:eastAsia="zh-CN"/>
        </w:rPr>
        <w:t>的</w:t>
      </w:r>
      <w:r>
        <w:rPr>
          <w:rFonts w:hint="eastAsia" w:ascii="宋体" w:hAnsi="宋体"/>
          <w:b/>
          <w:sz w:val="24"/>
          <w:highlight w:val="none"/>
        </w:rPr>
        <w:t>要求，若未在上表中声明响应情况，视为完全响应不存在任何偏离。</w:t>
      </w:r>
    </w:p>
    <w:p>
      <w:pPr>
        <w:keepNext w:val="0"/>
        <w:keepLines w:val="0"/>
        <w:pageBreakBefore w:val="0"/>
        <w:widowControl w:val="0"/>
        <w:kinsoku/>
        <w:wordWrap/>
        <w:overflowPunct/>
        <w:topLinePunct w:val="0"/>
        <w:bidi w:val="0"/>
        <w:ind w:firstLine="720" w:firstLineChars="300"/>
        <w:rPr>
          <w:rFonts w:ascii="宋体" w:hAnsi="宋体" w:eastAsia="宋体" w:cs="宋体"/>
          <w:sz w:val="24"/>
          <w:highlight w:val="none"/>
        </w:rPr>
      </w:pPr>
      <w:r>
        <w:rPr>
          <w:rFonts w:hint="eastAsia" w:ascii="宋体" w:hAnsi="宋体" w:eastAsia="宋体" w:cs="宋体"/>
          <w:sz w:val="24"/>
          <w:highlight w:val="none"/>
        </w:rPr>
        <w:t>2、供应商必须根据本招标文件第</w:t>
      </w:r>
      <w:r>
        <w:rPr>
          <w:rFonts w:hint="eastAsia" w:ascii="宋体" w:hAnsi="宋体" w:eastAsia="宋体" w:cs="宋体"/>
          <w:sz w:val="24"/>
          <w:highlight w:val="none"/>
          <w:lang w:val="en-US" w:eastAsia="zh-CN"/>
        </w:rPr>
        <w:t>三</w:t>
      </w:r>
      <w:r>
        <w:rPr>
          <w:rFonts w:hint="eastAsia" w:ascii="宋体" w:hAnsi="宋体" w:eastAsia="宋体" w:cs="宋体"/>
          <w:sz w:val="24"/>
          <w:highlight w:val="none"/>
        </w:rPr>
        <w:t>章的要求据实填写，不得虚假响应，虚假响应的，其响应文件无效并按规定追究其相关责任。</w:t>
      </w:r>
    </w:p>
    <w:p>
      <w:pPr>
        <w:keepNext w:val="0"/>
        <w:keepLines w:val="0"/>
        <w:pageBreakBefore w:val="0"/>
        <w:widowControl w:val="0"/>
        <w:kinsoku/>
        <w:wordWrap/>
        <w:overflowPunct/>
        <w:topLinePunct w:val="0"/>
        <w:bidi w:val="0"/>
        <w:ind w:firstLine="480" w:firstLineChars="200"/>
        <w:rPr>
          <w:rFonts w:ascii="宋体" w:hAnsi="宋体"/>
          <w:sz w:val="24"/>
          <w:highlight w:val="none"/>
        </w:rPr>
      </w:pPr>
    </w:p>
    <w:p>
      <w:pPr>
        <w:keepNext w:val="0"/>
        <w:keepLines w:val="0"/>
        <w:pageBreakBefore w:val="0"/>
        <w:widowControl w:val="0"/>
        <w:kinsoku/>
        <w:wordWrap/>
        <w:overflowPunct/>
        <w:topLinePunct w:val="0"/>
        <w:bidi w:val="0"/>
        <w:ind w:firstLine="480" w:firstLineChars="200"/>
        <w:rPr>
          <w:rFonts w:ascii="宋体" w:hAnsi="宋体"/>
          <w:sz w:val="24"/>
          <w:highlight w:val="none"/>
        </w:rPr>
      </w:pPr>
    </w:p>
    <w:p>
      <w:pPr>
        <w:keepNext w:val="0"/>
        <w:keepLines w:val="0"/>
        <w:pageBreakBefore w:val="0"/>
        <w:widowControl w:val="0"/>
        <w:kinsoku/>
        <w:wordWrap/>
        <w:overflowPunct/>
        <w:topLinePunct w:val="0"/>
        <w:bidi w:val="0"/>
        <w:ind w:firstLine="480" w:firstLineChars="200"/>
        <w:rPr>
          <w:rFonts w:ascii="宋体" w:hAnsi="宋体"/>
          <w:sz w:val="24"/>
          <w:highlight w:val="none"/>
        </w:rPr>
      </w:pPr>
    </w:p>
    <w:p>
      <w:pPr>
        <w:keepNext w:val="0"/>
        <w:keepLines w:val="0"/>
        <w:pageBreakBefore w:val="0"/>
        <w:widowControl w:val="0"/>
        <w:kinsoku/>
        <w:wordWrap/>
        <w:overflowPunct/>
        <w:topLinePunct w:val="0"/>
        <w:bidi w:val="0"/>
        <w:ind w:firstLine="480" w:firstLineChars="200"/>
        <w:rPr>
          <w:rFonts w:ascii="宋体" w:hAnsi="宋体"/>
          <w:sz w:val="24"/>
          <w:highlight w:val="none"/>
        </w:rPr>
      </w:pPr>
    </w:p>
    <w:p>
      <w:pPr>
        <w:keepNext w:val="0"/>
        <w:keepLines w:val="0"/>
        <w:pageBreakBefore w:val="0"/>
        <w:widowControl w:val="0"/>
        <w:kinsoku/>
        <w:wordWrap/>
        <w:overflowPunct/>
        <w:topLinePunct w:val="0"/>
        <w:bidi w:val="0"/>
        <w:spacing w:line="40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供应商名称：XXX（盖单位公章）</w:t>
      </w:r>
    </w:p>
    <w:p>
      <w:pPr>
        <w:keepNext w:val="0"/>
        <w:keepLines w:val="0"/>
        <w:pageBreakBefore w:val="0"/>
        <w:widowControl w:val="0"/>
        <w:kinsoku/>
        <w:wordWrap/>
        <w:overflowPunct/>
        <w:topLinePunct w:val="0"/>
        <w:bidi w:val="0"/>
        <w:spacing w:line="40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法定代表人（负责人、经营者）或授权代表（签字或盖章）：XXX</w:t>
      </w:r>
    </w:p>
    <w:p>
      <w:pPr>
        <w:keepNext w:val="0"/>
        <w:keepLines w:val="0"/>
        <w:pageBreakBefore w:val="0"/>
        <w:widowControl w:val="0"/>
        <w:kinsoku/>
        <w:wordWrap/>
        <w:overflowPunct/>
        <w:topLinePunct w:val="0"/>
        <w:bidi w:val="0"/>
        <w:spacing w:line="40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 xml:space="preserve">日      期：XXX年XXX月XXX日 </w:t>
      </w:r>
    </w:p>
    <w:p>
      <w:pPr>
        <w:keepNext w:val="0"/>
        <w:keepLines w:val="0"/>
        <w:pageBreakBefore w:val="0"/>
        <w:widowControl w:val="0"/>
        <w:kinsoku/>
        <w:wordWrap/>
        <w:overflowPunct/>
        <w:topLinePunct w:val="0"/>
        <w:bidi w:val="0"/>
        <w:spacing w:line="40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 xml:space="preserve"> </w:t>
      </w:r>
    </w:p>
    <w:p>
      <w:pPr>
        <w:keepNext w:val="0"/>
        <w:keepLines w:val="0"/>
        <w:pageBreakBefore w:val="0"/>
        <w:widowControl w:val="0"/>
        <w:kinsoku/>
        <w:wordWrap/>
        <w:overflowPunct/>
        <w:topLinePunct w:val="0"/>
        <w:bidi w:val="0"/>
        <w:ind w:firstLine="480" w:firstLineChars="200"/>
        <w:rPr>
          <w:rFonts w:ascii="宋体" w:hAnsi="宋体"/>
          <w:sz w:val="24"/>
          <w:highlight w:val="none"/>
        </w:rPr>
      </w:pPr>
    </w:p>
    <w:p>
      <w:pPr>
        <w:keepNext w:val="0"/>
        <w:keepLines w:val="0"/>
        <w:pageBreakBefore w:val="0"/>
        <w:widowControl w:val="0"/>
        <w:kinsoku/>
        <w:wordWrap/>
        <w:overflowPunct/>
        <w:topLinePunct w:val="0"/>
        <w:bidi w:val="0"/>
        <w:spacing w:line="594" w:lineRule="exact"/>
        <w:ind w:left="480" w:hanging="480" w:hangingChars="150"/>
        <w:rPr>
          <w:rFonts w:ascii="仿宋_GB2312" w:hAnsi="宋体" w:eastAsia="仿宋_GB2312"/>
          <w:sz w:val="32"/>
          <w:szCs w:val="32"/>
          <w:highlight w:val="none"/>
        </w:rPr>
      </w:pPr>
    </w:p>
    <w:p>
      <w:pPr>
        <w:keepNext w:val="0"/>
        <w:keepLines w:val="0"/>
        <w:pageBreakBefore w:val="0"/>
        <w:widowControl w:val="0"/>
        <w:kinsoku/>
        <w:wordWrap/>
        <w:overflowPunct/>
        <w:topLinePunct w:val="0"/>
        <w:bidi w:val="0"/>
        <w:spacing w:line="594" w:lineRule="exact"/>
        <w:ind w:left="480" w:hanging="480" w:hangingChars="150"/>
        <w:rPr>
          <w:rFonts w:ascii="仿宋_GB2312" w:hAnsi="宋体" w:eastAsia="仿宋_GB2312"/>
          <w:sz w:val="32"/>
          <w:szCs w:val="32"/>
          <w:highlight w:val="none"/>
        </w:rPr>
      </w:pPr>
    </w:p>
    <w:p>
      <w:pPr>
        <w:keepNext w:val="0"/>
        <w:keepLines w:val="0"/>
        <w:pageBreakBefore w:val="0"/>
        <w:widowControl w:val="0"/>
        <w:kinsoku/>
        <w:wordWrap/>
        <w:overflowPunct/>
        <w:topLinePunct w:val="0"/>
        <w:bidi w:val="0"/>
        <w:spacing w:line="594" w:lineRule="exact"/>
        <w:ind w:left="480" w:hanging="480" w:hangingChars="150"/>
        <w:rPr>
          <w:rFonts w:ascii="仿宋_GB2312" w:hAnsi="宋体" w:eastAsia="仿宋_GB2312"/>
          <w:sz w:val="32"/>
          <w:szCs w:val="32"/>
          <w:highlight w:val="none"/>
        </w:rPr>
      </w:pPr>
    </w:p>
    <w:p>
      <w:pPr>
        <w:keepNext w:val="0"/>
        <w:keepLines w:val="0"/>
        <w:pageBreakBefore w:val="0"/>
        <w:widowControl w:val="0"/>
        <w:kinsoku/>
        <w:wordWrap/>
        <w:overflowPunct/>
        <w:topLinePunct w:val="0"/>
        <w:bidi w:val="0"/>
        <w:spacing w:line="594" w:lineRule="exact"/>
        <w:rPr>
          <w:rFonts w:ascii="仿宋_GB2312" w:hAnsi="宋体" w:eastAsia="仿宋_GB2312"/>
          <w:sz w:val="32"/>
          <w:szCs w:val="32"/>
          <w:highlight w:val="none"/>
        </w:rPr>
      </w:pPr>
    </w:p>
    <w:p>
      <w:pPr>
        <w:keepNext w:val="0"/>
        <w:keepLines w:val="0"/>
        <w:pageBreakBefore w:val="0"/>
        <w:widowControl w:val="0"/>
        <w:numPr>
          <w:ilvl w:val="0"/>
          <w:numId w:val="0"/>
        </w:numPr>
        <w:kinsoku/>
        <w:wordWrap/>
        <w:overflowPunct/>
        <w:topLinePunct w:val="0"/>
        <w:bidi w:val="0"/>
        <w:spacing w:line="594" w:lineRule="exact"/>
        <w:jc w:val="center"/>
        <w:rPr>
          <w:rFonts w:hint="default" w:cs="Times New Roman" w:asciiTheme="majorEastAsia" w:hAnsiTheme="majorEastAsia" w:eastAsiaTheme="majorEastAsia"/>
          <w:b/>
          <w:bCs/>
          <w:kern w:val="2"/>
          <w:sz w:val="28"/>
          <w:szCs w:val="32"/>
          <w:highlight w:val="none"/>
          <w:lang w:val="en-US" w:eastAsia="zh-CN" w:bidi="ar-SA"/>
        </w:rPr>
      </w:pPr>
      <w:r>
        <w:rPr>
          <w:rFonts w:hint="eastAsia" w:cs="Times New Roman" w:asciiTheme="majorEastAsia" w:hAnsiTheme="majorEastAsia" w:eastAsiaTheme="majorEastAsia"/>
          <w:b/>
          <w:bCs/>
          <w:kern w:val="2"/>
          <w:sz w:val="28"/>
          <w:szCs w:val="32"/>
          <w:highlight w:val="none"/>
          <w:lang w:val="en-US" w:eastAsia="zh-CN" w:bidi="ar-SA"/>
        </w:rPr>
        <w:t>（九）其它响应文件，格式自拟</w:t>
      </w: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MingLiU">
    <w:altName w:val="Microsoft JhengHei"/>
    <w:panose1 w:val="02010609000101010101"/>
    <w:charset w:val="88"/>
    <w:family w:val="modern"/>
    <w:pitch w:val="default"/>
    <w:sig w:usb0="00000000" w:usb1="00000000" w:usb2="00000010" w:usb3="00000000" w:csb0="001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Theme="minorEastAsia" w:hAnsiTheme="minorEastAsia"/>
        <w:sz w:val="28"/>
        <w:szCs w:val="28"/>
      </w:rPr>
    </w:pPr>
  </w:p>
  <w:p>
    <w:pPr>
      <w:pStyle w:val="12"/>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Theme="minorEastAsia" w:hAnsiTheme="minorEastAsia"/>
        <w:sz w:val="28"/>
        <w:szCs w:val="28"/>
      </w:rPr>
    </w:pPr>
  </w:p>
  <w:p>
    <w:pPr>
      <w:pStyle w:val="12"/>
      <w:rPr>
        <w:rFonts w:asciiTheme="minorEastAsia" w:hAnsiTheme="minorEastAsia"/>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Theme="minorEastAsia" w:hAnsiTheme="min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p>
    <w:pPr>
      <w:pStyle w:val="12"/>
      <w:rPr>
        <w:rFonts w:asciiTheme="minorEastAsia" w:hAnsiTheme="minorEastAsia"/>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5D46DB"/>
    <w:multiLevelType w:val="singleLevel"/>
    <w:tmpl w:val="565D46DB"/>
    <w:lvl w:ilvl="0" w:tentative="0">
      <w:start w:val="1"/>
      <w:numFmt w:val="decimal"/>
      <w:pStyle w:val="22"/>
      <w:suff w:val="nothing"/>
      <w:lvlText w:val="%1、"/>
      <w:lvlJc w:val="left"/>
    </w:lvl>
  </w:abstractNum>
  <w:abstractNum w:abstractNumId="1">
    <w:nsid w:val="5AC86FB6"/>
    <w:multiLevelType w:val="multilevel"/>
    <w:tmpl w:val="5AC86FB6"/>
    <w:lvl w:ilvl="0" w:tentative="0">
      <w:start w:val="1"/>
      <w:numFmt w:val="japaneseCounting"/>
      <w:lvlText w:val="%1、"/>
      <w:lvlJc w:val="left"/>
      <w:pPr>
        <w:ind w:left="1429" w:hanging="720"/>
      </w:pPr>
      <w:rPr>
        <w:rFonts w:hint="default"/>
        <w:lang w:val="en-US"/>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0MWE1ODMzZmQxMzA1ZmZlMzVhNGFhYzdkZjMxNzMifQ=="/>
  </w:docVars>
  <w:rsids>
    <w:rsidRoot w:val="00926F60"/>
    <w:rsid w:val="00002C7E"/>
    <w:rsid w:val="0002119A"/>
    <w:rsid w:val="00022866"/>
    <w:rsid w:val="00032013"/>
    <w:rsid w:val="000359AF"/>
    <w:rsid w:val="00037047"/>
    <w:rsid w:val="00047AF4"/>
    <w:rsid w:val="00053427"/>
    <w:rsid w:val="00054F86"/>
    <w:rsid w:val="00056BE3"/>
    <w:rsid w:val="00060B01"/>
    <w:rsid w:val="00064AA0"/>
    <w:rsid w:val="0009159C"/>
    <w:rsid w:val="000B06C5"/>
    <w:rsid w:val="000D6723"/>
    <w:rsid w:val="000F18ED"/>
    <w:rsid w:val="000F1B6F"/>
    <w:rsid w:val="001037D4"/>
    <w:rsid w:val="00107252"/>
    <w:rsid w:val="001112CF"/>
    <w:rsid w:val="00112D1E"/>
    <w:rsid w:val="001242ED"/>
    <w:rsid w:val="00125EB1"/>
    <w:rsid w:val="001269C4"/>
    <w:rsid w:val="00131EC1"/>
    <w:rsid w:val="00137450"/>
    <w:rsid w:val="00145A90"/>
    <w:rsid w:val="001462DC"/>
    <w:rsid w:val="0015651D"/>
    <w:rsid w:val="001779C7"/>
    <w:rsid w:val="00183B66"/>
    <w:rsid w:val="00184153"/>
    <w:rsid w:val="00191D58"/>
    <w:rsid w:val="0019339D"/>
    <w:rsid w:val="001A5C80"/>
    <w:rsid w:val="001B7B5C"/>
    <w:rsid w:val="001C50D2"/>
    <w:rsid w:val="001D1FA1"/>
    <w:rsid w:val="001D4C22"/>
    <w:rsid w:val="001E05F5"/>
    <w:rsid w:val="001F3F91"/>
    <w:rsid w:val="00223A94"/>
    <w:rsid w:val="00224BCD"/>
    <w:rsid w:val="00234AA1"/>
    <w:rsid w:val="00235144"/>
    <w:rsid w:val="00252DEB"/>
    <w:rsid w:val="00257685"/>
    <w:rsid w:val="0026007E"/>
    <w:rsid w:val="00260796"/>
    <w:rsid w:val="00277DB2"/>
    <w:rsid w:val="00280C98"/>
    <w:rsid w:val="00286B41"/>
    <w:rsid w:val="002D18A1"/>
    <w:rsid w:val="002E2AEA"/>
    <w:rsid w:val="002E36AD"/>
    <w:rsid w:val="002E7F97"/>
    <w:rsid w:val="003041AA"/>
    <w:rsid w:val="00305E28"/>
    <w:rsid w:val="003235A1"/>
    <w:rsid w:val="00341E39"/>
    <w:rsid w:val="00344173"/>
    <w:rsid w:val="003663CA"/>
    <w:rsid w:val="00375660"/>
    <w:rsid w:val="00387B0A"/>
    <w:rsid w:val="003A1A6E"/>
    <w:rsid w:val="003C1686"/>
    <w:rsid w:val="003D1E7E"/>
    <w:rsid w:val="003E53B4"/>
    <w:rsid w:val="00404023"/>
    <w:rsid w:val="004063B4"/>
    <w:rsid w:val="004105B6"/>
    <w:rsid w:val="00414A4C"/>
    <w:rsid w:val="00416977"/>
    <w:rsid w:val="00416EE1"/>
    <w:rsid w:val="0042039A"/>
    <w:rsid w:val="004212A7"/>
    <w:rsid w:val="00424805"/>
    <w:rsid w:val="00426170"/>
    <w:rsid w:val="0044284E"/>
    <w:rsid w:val="00443F2B"/>
    <w:rsid w:val="004655D8"/>
    <w:rsid w:val="00467ABF"/>
    <w:rsid w:val="00470F7D"/>
    <w:rsid w:val="00473E92"/>
    <w:rsid w:val="004958B9"/>
    <w:rsid w:val="00497EB5"/>
    <w:rsid w:val="004A18D0"/>
    <w:rsid w:val="004A7D4F"/>
    <w:rsid w:val="004B6755"/>
    <w:rsid w:val="004B7E55"/>
    <w:rsid w:val="004C1F45"/>
    <w:rsid w:val="004C7682"/>
    <w:rsid w:val="004E3BCA"/>
    <w:rsid w:val="00500F02"/>
    <w:rsid w:val="0050465D"/>
    <w:rsid w:val="00510A13"/>
    <w:rsid w:val="00525ED8"/>
    <w:rsid w:val="005319F0"/>
    <w:rsid w:val="005438F9"/>
    <w:rsid w:val="0056289B"/>
    <w:rsid w:val="005772D1"/>
    <w:rsid w:val="00580F71"/>
    <w:rsid w:val="00585DA1"/>
    <w:rsid w:val="005939A7"/>
    <w:rsid w:val="00597F36"/>
    <w:rsid w:val="005A4A70"/>
    <w:rsid w:val="005A5644"/>
    <w:rsid w:val="005A7790"/>
    <w:rsid w:val="005B18B5"/>
    <w:rsid w:val="005B54FA"/>
    <w:rsid w:val="005B5C1D"/>
    <w:rsid w:val="005F1A38"/>
    <w:rsid w:val="005F7D52"/>
    <w:rsid w:val="006055AE"/>
    <w:rsid w:val="0060626C"/>
    <w:rsid w:val="0063464D"/>
    <w:rsid w:val="00635139"/>
    <w:rsid w:val="00636FF6"/>
    <w:rsid w:val="00640377"/>
    <w:rsid w:val="00641712"/>
    <w:rsid w:val="00642F7A"/>
    <w:rsid w:val="0066121E"/>
    <w:rsid w:val="0066357F"/>
    <w:rsid w:val="00667489"/>
    <w:rsid w:val="00667783"/>
    <w:rsid w:val="0068086C"/>
    <w:rsid w:val="00681D74"/>
    <w:rsid w:val="00691001"/>
    <w:rsid w:val="006A0F94"/>
    <w:rsid w:val="006A45FC"/>
    <w:rsid w:val="006A5321"/>
    <w:rsid w:val="006A5D84"/>
    <w:rsid w:val="006A7C3F"/>
    <w:rsid w:val="006C1D60"/>
    <w:rsid w:val="006D0852"/>
    <w:rsid w:val="006D2D48"/>
    <w:rsid w:val="006D6A0E"/>
    <w:rsid w:val="006D760D"/>
    <w:rsid w:val="006E2FA6"/>
    <w:rsid w:val="006F01EA"/>
    <w:rsid w:val="006F2965"/>
    <w:rsid w:val="006F341F"/>
    <w:rsid w:val="006F4612"/>
    <w:rsid w:val="006F7430"/>
    <w:rsid w:val="007016E5"/>
    <w:rsid w:val="0070184B"/>
    <w:rsid w:val="007108D5"/>
    <w:rsid w:val="00725521"/>
    <w:rsid w:val="00731A19"/>
    <w:rsid w:val="007320A0"/>
    <w:rsid w:val="00741CC2"/>
    <w:rsid w:val="00741F9F"/>
    <w:rsid w:val="00766DDD"/>
    <w:rsid w:val="007779DF"/>
    <w:rsid w:val="007B6BB2"/>
    <w:rsid w:val="007C16A5"/>
    <w:rsid w:val="007C34A0"/>
    <w:rsid w:val="007C7BCA"/>
    <w:rsid w:val="007E58D2"/>
    <w:rsid w:val="007E72D8"/>
    <w:rsid w:val="00815807"/>
    <w:rsid w:val="00823F95"/>
    <w:rsid w:val="008438E4"/>
    <w:rsid w:val="00844D01"/>
    <w:rsid w:val="008456F9"/>
    <w:rsid w:val="00855226"/>
    <w:rsid w:val="00876227"/>
    <w:rsid w:val="00894FEE"/>
    <w:rsid w:val="008A73F7"/>
    <w:rsid w:val="008B3442"/>
    <w:rsid w:val="008B79A5"/>
    <w:rsid w:val="008C52EF"/>
    <w:rsid w:val="008E7922"/>
    <w:rsid w:val="00911723"/>
    <w:rsid w:val="00914BB7"/>
    <w:rsid w:val="00916459"/>
    <w:rsid w:val="0092105B"/>
    <w:rsid w:val="00925FD2"/>
    <w:rsid w:val="00926F60"/>
    <w:rsid w:val="009413FA"/>
    <w:rsid w:val="00941A57"/>
    <w:rsid w:val="00944FE4"/>
    <w:rsid w:val="00945BCD"/>
    <w:rsid w:val="0095069D"/>
    <w:rsid w:val="009566DA"/>
    <w:rsid w:val="00965BB7"/>
    <w:rsid w:val="00970D9D"/>
    <w:rsid w:val="00972880"/>
    <w:rsid w:val="00975E18"/>
    <w:rsid w:val="00984AFB"/>
    <w:rsid w:val="009A1ED9"/>
    <w:rsid w:val="009E78F8"/>
    <w:rsid w:val="009F35DB"/>
    <w:rsid w:val="009F4313"/>
    <w:rsid w:val="00A0084B"/>
    <w:rsid w:val="00A0272C"/>
    <w:rsid w:val="00A06908"/>
    <w:rsid w:val="00A1754B"/>
    <w:rsid w:val="00A2330F"/>
    <w:rsid w:val="00A31B24"/>
    <w:rsid w:val="00A3240D"/>
    <w:rsid w:val="00A3484A"/>
    <w:rsid w:val="00A422D6"/>
    <w:rsid w:val="00A42D74"/>
    <w:rsid w:val="00A435A8"/>
    <w:rsid w:val="00A513FE"/>
    <w:rsid w:val="00A57CBB"/>
    <w:rsid w:val="00A6782E"/>
    <w:rsid w:val="00A717CF"/>
    <w:rsid w:val="00A94F57"/>
    <w:rsid w:val="00AA3A54"/>
    <w:rsid w:val="00AA3C3A"/>
    <w:rsid w:val="00AB09B7"/>
    <w:rsid w:val="00AB4687"/>
    <w:rsid w:val="00AB5784"/>
    <w:rsid w:val="00AC1B30"/>
    <w:rsid w:val="00AC4AF1"/>
    <w:rsid w:val="00AD1FEE"/>
    <w:rsid w:val="00AD4A86"/>
    <w:rsid w:val="00AD54AD"/>
    <w:rsid w:val="00AD6934"/>
    <w:rsid w:val="00AE1A1B"/>
    <w:rsid w:val="00B01561"/>
    <w:rsid w:val="00B06F61"/>
    <w:rsid w:val="00B12DE1"/>
    <w:rsid w:val="00B16049"/>
    <w:rsid w:val="00B221B8"/>
    <w:rsid w:val="00B25E30"/>
    <w:rsid w:val="00B3044B"/>
    <w:rsid w:val="00B55EF3"/>
    <w:rsid w:val="00B60E88"/>
    <w:rsid w:val="00B63952"/>
    <w:rsid w:val="00B7654E"/>
    <w:rsid w:val="00B773E0"/>
    <w:rsid w:val="00B84050"/>
    <w:rsid w:val="00BA2279"/>
    <w:rsid w:val="00BB4983"/>
    <w:rsid w:val="00BC64DC"/>
    <w:rsid w:val="00BD2E7A"/>
    <w:rsid w:val="00BE5284"/>
    <w:rsid w:val="00C05759"/>
    <w:rsid w:val="00C21EF1"/>
    <w:rsid w:val="00C4008B"/>
    <w:rsid w:val="00C40C2E"/>
    <w:rsid w:val="00C421A6"/>
    <w:rsid w:val="00C465FD"/>
    <w:rsid w:val="00C47278"/>
    <w:rsid w:val="00C62214"/>
    <w:rsid w:val="00C623E0"/>
    <w:rsid w:val="00C67D0B"/>
    <w:rsid w:val="00C87307"/>
    <w:rsid w:val="00CA01C4"/>
    <w:rsid w:val="00CB7098"/>
    <w:rsid w:val="00CC07CF"/>
    <w:rsid w:val="00CC091B"/>
    <w:rsid w:val="00CD0F26"/>
    <w:rsid w:val="00CD3AD9"/>
    <w:rsid w:val="00CE4E99"/>
    <w:rsid w:val="00CE521B"/>
    <w:rsid w:val="00CE5379"/>
    <w:rsid w:val="00CF36DC"/>
    <w:rsid w:val="00D00802"/>
    <w:rsid w:val="00D04E9B"/>
    <w:rsid w:val="00D04FF2"/>
    <w:rsid w:val="00D11F13"/>
    <w:rsid w:val="00D121A0"/>
    <w:rsid w:val="00D13C07"/>
    <w:rsid w:val="00D21343"/>
    <w:rsid w:val="00D314A7"/>
    <w:rsid w:val="00D361CE"/>
    <w:rsid w:val="00D4039A"/>
    <w:rsid w:val="00D40657"/>
    <w:rsid w:val="00D520EF"/>
    <w:rsid w:val="00D52B32"/>
    <w:rsid w:val="00D61E3A"/>
    <w:rsid w:val="00D74372"/>
    <w:rsid w:val="00D8243C"/>
    <w:rsid w:val="00D8244C"/>
    <w:rsid w:val="00D82690"/>
    <w:rsid w:val="00DD00E0"/>
    <w:rsid w:val="00DD0547"/>
    <w:rsid w:val="00DD156C"/>
    <w:rsid w:val="00DD6962"/>
    <w:rsid w:val="00DD778D"/>
    <w:rsid w:val="00DE2DE8"/>
    <w:rsid w:val="00DE479C"/>
    <w:rsid w:val="00DF0ED0"/>
    <w:rsid w:val="00DF1C36"/>
    <w:rsid w:val="00DF4E5D"/>
    <w:rsid w:val="00E0543C"/>
    <w:rsid w:val="00E1479D"/>
    <w:rsid w:val="00E14E3F"/>
    <w:rsid w:val="00E3507F"/>
    <w:rsid w:val="00E42C59"/>
    <w:rsid w:val="00E710CA"/>
    <w:rsid w:val="00E80B61"/>
    <w:rsid w:val="00E87122"/>
    <w:rsid w:val="00EA09B2"/>
    <w:rsid w:val="00EA146C"/>
    <w:rsid w:val="00EB2F23"/>
    <w:rsid w:val="00EB549B"/>
    <w:rsid w:val="00EC1BB5"/>
    <w:rsid w:val="00EC46EF"/>
    <w:rsid w:val="00ED3573"/>
    <w:rsid w:val="00ED38C7"/>
    <w:rsid w:val="00EE3142"/>
    <w:rsid w:val="00EE5B28"/>
    <w:rsid w:val="00EE7F4A"/>
    <w:rsid w:val="00EF2CAE"/>
    <w:rsid w:val="00F01C32"/>
    <w:rsid w:val="00F07501"/>
    <w:rsid w:val="00F075DC"/>
    <w:rsid w:val="00F10138"/>
    <w:rsid w:val="00F26AD2"/>
    <w:rsid w:val="00F33244"/>
    <w:rsid w:val="00F5240A"/>
    <w:rsid w:val="00F64D59"/>
    <w:rsid w:val="00F701B9"/>
    <w:rsid w:val="00F70FCF"/>
    <w:rsid w:val="00F762A3"/>
    <w:rsid w:val="00F812F3"/>
    <w:rsid w:val="00F81FE3"/>
    <w:rsid w:val="00F96D18"/>
    <w:rsid w:val="00F97719"/>
    <w:rsid w:val="00FA2789"/>
    <w:rsid w:val="00FA45E1"/>
    <w:rsid w:val="00FA5DFA"/>
    <w:rsid w:val="00FB35FA"/>
    <w:rsid w:val="00FB664B"/>
    <w:rsid w:val="00FB6CEA"/>
    <w:rsid w:val="00FB716E"/>
    <w:rsid w:val="00FC2E79"/>
    <w:rsid w:val="00FC531A"/>
    <w:rsid w:val="00FC73BD"/>
    <w:rsid w:val="00FD24BF"/>
    <w:rsid w:val="00FD4D19"/>
    <w:rsid w:val="00FF2A45"/>
    <w:rsid w:val="00FF743D"/>
    <w:rsid w:val="01923844"/>
    <w:rsid w:val="020421C9"/>
    <w:rsid w:val="02462876"/>
    <w:rsid w:val="02A23B1B"/>
    <w:rsid w:val="02F30375"/>
    <w:rsid w:val="035D4597"/>
    <w:rsid w:val="05253232"/>
    <w:rsid w:val="05B403D0"/>
    <w:rsid w:val="06293F34"/>
    <w:rsid w:val="0699055C"/>
    <w:rsid w:val="070C0763"/>
    <w:rsid w:val="09A8306C"/>
    <w:rsid w:val="09B21CEB"/>
    <w:rsid w:val="09F87245"/>
    <w:rsid w:val="0A3A26C3"/>
    <w:rsid w:val="0ACD7A80"/>
    <w:rsid w:val="0AF1497F"/>
    <w:rsid w:val="0B9B2395"/>
    <w:rsid w:val="0BE40425"/>
    <w:rsid w:val="0BFF3C7D"/>
    <w:rsid w:val="0C320FB7"/>
    <w:rsid w:val="0C75275A"/>
    <w:rsid w:val="0D250748"/>
    <w:rsid w:val="0D2C6860"/>
    <w:rsid w:val="110C2251"/>
    <w:rsid w:val="114E77D2"/>
    <w:rsid w:val="118F1EDD"/>
    <w:rsid w:val="12D4696F"/>
    <w:rsid w:val="141232C8"/>
    <w:rsid w:val="15236361"/>
    <w:rsid w:val="153E14C2"/>
    <w:rsid w:val="1602697A"/>
    <w:rsid w:val="1C03515C"/>
    <w:rsid w:val="1C170038"/>
    <w:rsid w:val="1CA26951"/>
    <w:rsid w:val="1D251026"/>
    <w:rsid w:val="1D7E4BDE"/>
    <w:rsid w:val="1D9D4B4D"/>
    <w:rsid w:val="1E636E30"/>
    <w:rsid w:val="1EEA717E"/>
    <w:rsid w:val="1EEC63A4"/>
    <w:rsid w:val="1F4459F3"/>
    <w:rsid w:val="20D45EB4"/>
    <w:rsid w:val="21DB47CF"/>
    <w:rsid w:val="22837AA1"/>
    <w:rsid w:val="228A3D88"/>
    <w:rsid w:val="24511928"/>
    <w:rsid w:val="24645381"/>
    <w:rsid w:val="24DE4AF8"/>
    <w:rsid w:val="260C0E70"/>
    <w:rsid w:val="261B630A"/>
    <w:rsid w:val="28A7596A"/>
    <w:rsid w:val="29275951"/>
    <w:rsid w:val="2AF93168"/>
    <w:rsid w:val="2B2F7FE6"/>
    <w:rsid w:val="2E8157DC"/>
    <w:rsid w:val="2F3D2779"/>
    <w:rsid w:val="338E20A2"/>
    <w:rsid w:val="347C66BD"/>
    <w:rsid w:val="3497286B"/>
    <w:rsid w:val="3562508F"/>
    <w:rsid w:val="35E456FA"/>
    <w:rsid w:val="372B5261"/>
    <w:rsid w:val="3A666D99"/>
    <w:rsid w:val="3AC40AFD"/>
    <w:rsid w:val="3B411308"/>
    <w:rsid w:val="3BA669FA"/>
    <w:rsid w:val="3BE70B67"/>
    <w:rsid w:val="3C926E07"/>
    <w:rsid w:val="3D583924"/>
    <w:rsid w:val="3E8A0808"/>
    <w:rsid w:val="3FFC7797"/>
    <w:rsid w:val="402C3DD7"/>
    <w:rsid w:val="406B3F1F"/>
    <w:rsid w:val="4086576B"/>
    <w:rsid w:val="41EB2D36"/>
    <w:rsid w:val="43267243"/>
    <w:rsid w:val="433E4728"/>
    <w:rsid w:val="443D6B1D"/>
    <w:rsid w:val="45A7417B"/>
    <w:rsid w:val="462A4275"/>
    <w:rsid w:val="482A1A6E"/>
    <w:rsid w:val="482C40E3"/>
    <w:rsid w:val="49275B1D"/>
    <w:rsid w:val="4A394D65"/>
    <w:rsid w:val="4AF8202C"/>
    <w:rsid w:val="4B934C1C"/>
    <w:rsid w:val="4C050010"/>
    <w:rsid w:val="4E213852"/>
    <w:rsid w:val="4ED9366C"/>
    <w:rsid w:val="508E5570"/>
    <w:rsid w:val="526C3211"/>
    <w:rsid w:val="52A6725F"/>
    <w:rsid w:val="54AB2436"/>
    <w:rsid w:val="54B35C95"/>
    <w:rsid w:val="58A32B1F"/>
    <w:rsid w:val="59016155"/>
    <w:rsid w:val="5A447A54"/>
    <w:rsid w:val="5AE242D5"/>
    <w:rsid w:val="5CAF6C3F"/>
    <w:rsid w:val="5CDD53AB"/>
    <w:rsid w:val="5EE84FBA"/>
    <w:rsid w:val="5F0B0331"/>
    <w:rsid w:val="6086625A"/>
    <w:rsid w:val="613C04CA"/>
    <w:rsid w:val="61495E11"/>
    <w:rsid w:val="62115058"/>
    <w:rsid w:val="62994007"/>
    <w:rsid w:val="644E50E1"/>
    <w:rsid w:val="65545AA7"/>
    <w:rsid w:val="657578D4"/>
    <w:rsid w:val="667E3871"/>
    <w:rsid w:val="672E678F"/>
    <w:rsid w:val="67B83316"/>
    <w:rsid w:val="680D7C43"/>
    <w:rsid w:val="686F7EB0"/>
    <w:rsid w:val="68D0468F"/>
    <w:rsid w:val="6A7130CF"/>
    <w:rsid w:val="6A9D0A39"/>
    <w:rsid w:val="6A9F46EA"/>
    <w:rsid w:val="6B8929C6"/>
    <w:rsid w:val="6BEE5B40"/>
    <w:rsid w:val="6C4C2597"/>
    <w:rsid w:val="6C78222A"/>
    <w:rsid w:val="6CC014CC"/>
    <w:rsid w:val="6D6F2138"/>
    <w:rsid w:val="6DC92605"/>
    <w:rsid w:val="6E276A0D"/>
    <w:rsid w:val="6F3F0601"/>
    <w:rsid w:val="70AB3A18"/>
    <w:rsid w:val="7114547A"/>
    <w:rsid w:val="711C6ABC"/>
    <w:rsid w:val="716D3CA6"/>
    <w:rsid w:val="719302C1"/>
    <w:rsid w:val="72AE1032"/>
    <w:rsid w:val="72CC62B5"/>
    <w:rsid w:val="734F1EEB"/>
    <w:rsid w:val="73E960E9"/>
    <w:rsid w:val="753A0EF4"/>
    <w:rsid w:val="787F0EF1"/>
    <w:rsid w:val="79AA3A77"/>
    <w:rsid w:val="7B490569"/>
    <w:rsid w:val="7C2B375B"/>
    <w:rsid w:val="7CE96CFD"/>
    <w:rsid w:val="7CF360EF"/>
    <w:rsid w:val="7D9A73E1"/>
    <w:rsid w:val="7EA6104A"/>
    <w:rsid w:val="7F921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2"/>
    <w:autoRedefine/>
    <w:qFormat/>
    <w:uiPriority w:val="0"/>
    <w:pPr>
      <w:keepNext/>
      <w:keepLines/>
      <w:spacing w:before="340" w:after="330" w:line="578" w:lineRule="auto"/>
      <w:outlineLvl w:val="0"/>
    </w:pPr>
    <w:rPr>
      <w:rFonts w:ascii="Times New Roman" w:hAnsi="Times New Roman" w:eastAsia="宋体" w:cs="Times New Roman"/>
      <w:b/>
      <w:bCs/>
      <w:kern w:val="44"/>
      <w:sz w:val="36"/>
      <w:szCs w:val="44"/>
    </w:rPr>
  </w:style>
  <w:style w:type="paragraph" w:styleId="3">
    <w:name w:val="heading 2"/>
    <w:basedOn w:val="1"/>
    <w:next w:val="1"/>
    <w:link w:val="33"/>
    <w:autoRedefine/>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4">
    <w:name w:val="List 3"/>
    <w:basedOn w:val="1"/>
    <w:autoRedefine/>
    <w:qFormat/>
    <w:uiPriority w:val="99"/>
    <w:pPr>
      <w:ind w:left="100" w:leftChars="400" w:hanging="200" w:hangingChars="200"/>
    </w:pPr>
  </w:style>
  <w:style w:type="paragraph" w:styleId="5">
    <w:name w:val="Normal Indent"/>
    <w:basedOn w:val="1"/>
    <w:autoRedefine/>
    <w:qFormat/>
    <w:uiPriority w:val="99"/>
    <w:pPr>
      <w:ind w:firstLine="420" w:firstLineChars="200"/>
    </w:pPr>
  </w:style>
  <w:style w:type="paragraph" w:styleId="6">
    <w:name w:val="annotation text"/>
    <w:basedOn w:val="1"/>
    <w:link w:val="30"/>
    <w:autoRedefine/>
    <w:unhideWhenUsed/>
    <w:qFormat/>
    <w:uiPriority w:val="99"/>
    <w:pPr>
      <w:jc w:val="left"/>
    </w:pPr>
  </w:style>
  <w:style w:type="paragraph" w:styleId="7">
    <w:name w:val="Body Text"/>
    <w:basedOn w:val="1"/>
    <w:next w:val="1"/>
    <w:link w:val="41"/>
    <w:autoRedefine/>
    <w:qFormat/>
    <w:uiPriority w:val="0"/>
    <w:pPr>
      <w:spacing w:after="120"/>
    </w:pPr>
    <w:rPr>
      <w:rFonts w:ascii="Times New Roman" w:hAnsi="Times New Roman" w:eastAsia="宋体" w:cs="Times New Roman"/>
      <w:szCs w:val="24"/>
    </w:rPr>
  </w:style>
  <w:style w:type="paragraph" w:styleId="8">
    <w:name w:val="Body Text Indent"/>
    <w:basedOn w:val="1"/>
    <w:link w:val="35"/>
    <w:autoRedefine/>
    <w:qFormat/>
    <w:uiPriority w:val="0"/>
    <w:pPr>
      <w:ind w:firstLine="630"/>
    </w:pPr>
    <w:rPr>
      <w:rFonts w:ascii="Times New Roman" w:hAnsi="Times New Roman" w:eastAsia="宋体" w:cs="Times New Roman"/>
      <w:sz w:val="32"/>
      <w:szCs w:val="20"/>
    </w:rPr>
  </w:style>
  <w:style w:type="paragraph" w:styleId="9">
    <w:name w:val="Plain Text"/>
    <w:basedOn w:val="1"/>
    <w:autoRedefine/>
    <w:qFormat/>
    <w:uiPriority w:val="0"/>
    <w:pPr>
      <w:widowControl/>
      <w:jc w:val="left"/>
    </w:pPr>
    <w:rPr>
      <w:rFonts w:cs="Times New Roman"/>
      <w:szCs w:val="24"/>
    </w:rPr>
  </w:style>
  <w:style w:type="paragraph" w:styleId="10">
    <w:name w:val="Body Text Indent 2"/>
    <w:basedOn w:val="1"/>
    <w:link w:val="37"/>
    <w:autoRedefine/>
    <w:qFormat/>
    <w:uiPriority w:val="0"/>
    <w:pPr>
      <w:spacing w:after="120" w:line="480" w:lineRule="auto"/>
      <w:ind w:left="420" w:leftChars="200"/>
    </w:pPr>
    <w:rPr>
      <w:rFonts w:ascii="Times New Roman" w:hAnsi="Times New Roman" w:eastAsia="宋体" w:cs="Times New Roman"/>
      <w:szCs w:val="24"/>
    </w:rPr>
  </w:style>
  <w:style w:type="paragraph" w:styleId="11">
    <w:name w:val="Balloon Text"/>
    <w:basedOn w:val="1"/>
    <w:link w:val="39"/>
    <w:autoRedefine/>
    <w:semiHidden/>
    <w:unhideWhenUsed/>
    <w:qFormat/>
    <w:uiPriority w:val="99"/>
    <w:rPr>
      <w:sz w:val="18"/>
      <w:szCs w:val="18"/>
    </w:rPr>
  </w:style>
  <w:style w:type="paragraph" w:styleId="12">
    <w:name w:val="footer"/>
    <w:basedOn w:val="1"/>
    <w:link w:val="26"/>
    <w:autoRedefine/>
    <w:unhideWhenUsed/>
    <w:qFormat/>
    <w:uiPriority w:val="99"/>
    <w:pPr>
      <w:tabs>
        <w:tab w:val="center" w:pos="4153"/>
        <w:tab w:val="right" w:pos="8306"/>
      </w:tabs>
      <w:snapToGrid w:val="0"/>
      <w:jc w:val="left"/>
    </w:pPr>
    <w:rPr>
      <w:sz w:val="18"/>
      <w:szCs w:val="18"/>
    </w:rPr>
  </w:style>
  <w:style w:type="paragraph" w:styleId="13">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semiHidden/>
    <w:unhideWhenUsed/>
    <w:qFormat/>
    <w:uiPriority w:val="39"/>
  </w:style>
  <w:style w:type="paragraph" w:styleId="15">
    <w:name w:val="Normal (Web)"/>
    <w:basedOn w:val="1"/>
    <w:autoRedefine/>
    <w:qFormat/>
    <w:uiPriority w:val="0"/>
    <w:pPr>
      <w:spacing w:beforeAutospacing="1" w:afterAutospacing="1"/>
      <w:jc w:val="left"/>
    </w:pPr>
    <w:rPr>
      <w:rFonts w:cs="Times New Roman"/>
      <w:kern w:val="0"/>
      <w:sz w:val="24"/>
      <w:szCs w:val="24"/>
    </w:rPr>
  </w:style>
  <w:style w:type="paragraph" w:styleId="16">
    <w:name w:val="annotation subject"/>
    <w:basedOn w:val="6"/>
    <w:next w:val="6"/>
    <w:link w:val="40"/>
    <w:autoRedefine/>
    <w:semiHidden/>
    <w:unhideWhenUsed/>
    <w:qFormat/>
    <w:uiPriority w:val="99"/>
    <w:rPr>
      <w:b/>
      <w:bCs/>
    </w:rPr>
  </w:style>
  <w:style w:type="paragraph" w:styleId="17">
    <w:name w:val="Body Text First Indent"/>
    <w:basedOn w:val="7"/>
    <w:next w:val="1"/>
    <w:autoRedefine/>
    <w:qFormat/>
    <w:uiPriority w:val="0"/>
    <w:pPr>
      <w:ind w:firstLine="420" w:firstLineChars="100"/>
    </w:pPr>
    <w:rPr>
      <w:szCs w:val="20"/>
    </w:rPr>
  </w:style>
  <w:style w:type="table" w:styleId="19">
    <w:name w:val="Table Grid"/>
    <w:basedOn w:val="18"/>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annotation reference"/>
    <w:basedOn w:val="20"/>
    <w:autoRedefine/>
    <w:semiHidden/>
    <w:unhideWhenUsed/>
    <w:qFormat/>
    <w:uiPriority w:val="99"/>
    <w:rPr>
      <w:sz w:val="21"/>
      <w:szCs w:val="21"/>
    </w:rPr>
  </w:style>
  <w:style w:type="paragraph" w:customStyle="1" w:styleId="22">
    <w:name w:val="标题 5（有编号）（绿盟科技）"/>
    <w:basedOn w:val="1"/>
    <w:next w:val="23"/>
    <w:autoRedefine/>
    <w:qFormat/>
    <w:uiPriority w:val="0"/>
    <w:pPr>
      <w:keepNext/>
      <w:keepLines/>
      <w:numPr>
        <w:ilvl w:val="0"/>
        <w:numId w:val="1"/>
      </w:numPr>
      <w:spacing w:before="280" w:after="156" w:line="377" w:lineRule="auto"/>
      <w:jc w:val="left"/>
      <w:outlineLvl w:val="4"/>
    </w:pPr>
    <w:rPr>
      <w:rFonts w:ascii="Arial" w:hAnsi="Arial" w:eastAsia="黑体"/>
      <w:b/>
      <w:kern w:val="0"/>
      <w:sz w:val="24"/>
      <w:szCs w:val="28"/>
    </w:rPr>
  </w:style>
  <w:style w:type="paragraph" w:customStyle="1" w:styleId="23">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24">
    <w:name w:val="BodyText"/>
    <w:basedOn w:val="1"/>
    <w:next w:val="1"/>
    <w:autoRedefine/>
    <w:qFormat/>
    <w:uiPriority w:val="0"/>
    <w:pPr>
      <w:spacing w:after="120"/>
      <w:textAlignment w:val="baseline"/>
    </w:pPr>
  </w:style>
  <w:style w:type="character" w:customStyle="1" w:styleId="25">
    <w:name w:val="页眉 Char"/>
    <w:basedOn w:val="20"/>
    <w:link w:val="13"/>
    <w:autoRedefine/>
    <w:qFormat/>
    <w:uiPriority w:val="99"/>
    <w:rPr>
      <w:sz w:val="18"/>
      <w:szCs w:val="18"/>
    </w:rPr>
  </w:style>
  <w:style w:type="character" w:customStyle="1" w:styleId="26">
    <w:name w:val="页脚 Char"/>
    <w:basedOn w:val="20"/>
    <w:link w:val="12"/>
    <w:autoRedefine/>
    <w:qFormat/>
    <w:uiPriority w:val="99"/>
    <w:rPr>
      <w:sz w:val="18"/>
      <w:szCs w:val="18"/>
    </w:rPr>
  </w:style>
  <w:style w:type="paragraph" w:customStyle="1" w:styleId="27">
    <w:name w:val="正文首行缩进两字符"/>
    <w:basedOn w:val="1"/>
    <w:autoRedefine/>
    <w:qFormat/>
    <w:uiPriority w:val="0"/>
    <w:pPr>
      <w:spacing w:line="360" w:lineRule="auto"/>
      <w:ind w:firstLine="200" w:firstLineChars="200"/>
    </w:pPr>
    <w:rPr>
      <w:rFonts w:ascii="Times New Roman" w:hAnsi="Times New Roman" w:eastAsia="宋体" w:cs="Times New Roman"/>
      <w:szCs w:val="24"/>
    </w:rPr>
  </w:style>
  <w:style w:type="paragraph" w:styleId="28">
    <w:name w:val="List Paragraph"/>
    <w:basedOn w:val="1"/>
    <w:link w:val="31"/>
    <w:autoRedefine/>
    <w:qFormat/>
    <w:uiPriority w:val="99"/>
    <w:pPr>
      <w:ind w:firstLine="420" w:firstLineChars="200"/>
    </w:pPr>
    <w:rPr>
      <w:rFonts w:ascii="Times New Roman" w:hAnsi="Times New Roman" w:eastAsia="宋体" w:cs="Times New Roman"/>
      <w:szCs w:val="24"/>
    </w:rPr>
  </w:style>
  <w:style w:type="paragraph" w:customStyle="1" w:styleId="29">
    <w:name w:val="样式"/>
    <w:autoRedefine/>
    <w:qFormat/>
    <w:uiPriority w:val="99"/>
    <w:pPr>
      <w:widowControl w:val="0"/>
      <w:autoSpaceDE w:val="0"/>
      <w:autoSpaceDN w:val="0"/>
      <w:adjustRightInd w:val="0"/>
    </w:pPr>
    <w:rPr>
      <w:rFonts w:ascii="宋体" w:hAnsi="宋体" w:eastAsia="宋体" w:cs="宋体"/>
      <w:sz w:val="24"/>
      <w:szCs w:val="24"/>
      <w:lang w:val="en-US" w:eastAsia="zh-CN" w:bidi="ar-SA"/>
    </w:rPr>
  </w:style>
  <w:style w:type="character" w:customStyle="1" w:styleId="30">
    <w:name w:val="批注文字 Char"/>
    <w:basedOn w:val="20"/>
    <w:link w:val="6"/>
    <w:autoRedefine/>
    <w:qFormat/>
    <w:uiPriority w:val="99"/>
  </w:style>
  <w:style w:type="character" w:customStyle="1" w:styleId="31">
    <w:name w:val="列出段落 Char"/>
    <w:link w:val="28"/>
    <w:autoRedefine/>
    <w:qFormat/>
    <w:uiPriority w:val="1"/>
    <w:rPr>
      <w:rFonts w:ascii="Times New Roman" w:hAnsi="Times New Roman" w:eastAsia="宋体" w:cs="Times New Roman"/>
      <w:szCs w:val="24"/>
    </w:rPr>
  </w:style>
  <w:style w:type="character" w:customStyle="1" w:styleId="32">
    <w:name w:val="标题 1 Char"/>
    <w:basedOn w:val="20"/>
    <w:link w:val="2"/>
    <w:autoRedefine/>
    <w:qFormat/>
    <w:uiPriority w:val="0"/>
    <w:rPr>
      <w:rFonts w:ascii="Times New Roman" w:hAnsi="Times New Roman" w:eastAsia="宋体" w:cs="Times New Roman"/>
      <w:b/>
      <w:bCs/>
      <w:kern w:val="44"/>
      <w:sz w:val="36"/>
      <w:szCs w:val="44"/>
    </w:rPr>
  </w:style>
  <w:style w:type="character" w:customStyle="1" w:styleId="33">
    <w:name w:val="标题 2 Char"/>
    <w:basedOn w:val="20"/>
    <w:link w:val="3"/>
    <w:autoRedefine/>
    <w:qFormat/>
    <w:uiPriority w:val="0"/>
    <w:rPr>
      <w:rFonts w:ascii="Arial" w:hAnsi="Arial" w:eastAsia="黑体" w:cs="Times New Roman"/>
      <w:b/>
      <w:bCs/>
      <w:sz w:val="32"/>
      <w:szCs w:val="32"/>
    </w:rPr>
  </w:style>
  <w:style w:type="character" w:customStyle="1" w:styleId="34">
    <w:name w:val="标题 1 Char1"/>
    <w:autoRedefine/>
    <w:qFormat/>
    <w:uiPriority w:val="0"/>
    <w:rPr>
      <w:b/>
      <w:bCs/>
      <w:kern w:val="44"/>
      <w:sz w:val="44"/>
      <w:szCs w:val="44"/>
    </w:rPr>
  </w:style>
  <w:style w:type="character" w:customStyle="1" w:styleId="35">
    <w:name w:val="正文文本缩进 Char"/>
    <w:basedOn w:val="20"/>
    <w:link w:val="8"/>
    <w:autoRedefine/>
    <w:qFormat/>
    <w:uiPriority w:val="0"/>
    <w:rPr>
      <w:rFonts w:ascii="Times New Roman" w:hAnsi="Times New Roman" w:eastAsia="宋体" w:cs="Times New Roman"/>
      <w:sz w:val="32"/>
      <w:szCs w:val="20"/>
    </w:rPr>
  </w:style>
  <w:style w:type="paragraph" w:customStyle="1" w:styleId="36">
    <w:name w:val="正文 A"/>
    <w:autoRedefine/>
    <w:qFormat/>
    <w:uiPriority w:val="99"/>
    <w:pPr>
      <w:widowControl w:val="0"/>
      <w:spacing w:line="312" w:lineRule="atLeast"/>
      <w:jc w:val="both"/>
    </w:pPr>
    <w:rPr>
      <w:rFonts w:ascii="Arial Unicode MS" w:hAnsi="Arial Unicode MS" w:eastAsia="宋体" w:cs="Arial Unicode MS"/>
      <w:color w:val="000000"/>
      <w:kern w:val="2"/>
      <w:sz w:val="21"/>
      <w:szCs w:val="21"/>
      <w:lang w:val="en-US" w:eastAsia="zh-CN" w:bidi="ar-SA"/>
    </w:rPr>
  </w:style>
  <w:style w:type="character" w:customStyle="1" w:styleId="37">
    <w:name w:val="正文文本缩进 2 Char"/>
    <w:basedOn w:val="20"/>
    <w:link w:val="10"/>
    <w:autoRedefine/>
    <w:qFormat/>
    <w:uiPriority w:val="0"/>
    <w:rPr>
      <w:rFonts w:ascii="Times New Roman" w:hAnsi="Times New Roman" w:eastAsia="宋体" w:cs="Times New Roman"/>
      <w:szCs w:val="24"/>
    </w:rPr>
  </w:style>
  <w:style w:type="paragraph" w:customStyle="1" w:styleId="38">
    <w:name w:val="WPSOffice手动目录 1"/>
    <w:autoRedefine/>
    <w:qFormat/>
    <w:uiPriority w:val="0"/>
    <w:rPr>
      <w:rFonts w:asciiTheme="minorHAnsi" w:hAnsiTheme="minorHAnsi" w:eastAsiaTheme="minorEastAsia" w:cstheme="minorBidi"/>
      <w:lang w:val="en-US" w:eastAsia="zh-CN" w:bidi="ar-SA"/>
    </w:rPr>
  </w:style>
  <w:style w:type="character" w:customStyle="1" w:styleId="39">
    <w:name w:val="批注框文本 Char"/>
    <w:basedOn w:val="20"/>
    <w:link w:val="11"/>
    <w:autoRedefine/>
    <w:semiHidden/>
    <w:qFormat/>
    <w:uiPriority w:val="99"/>
    <w:rPr>
      <w:kern w:val="2"/>
      <w:sz w:val="18"/>
      <w:szCs w:val="18"/>
    </w:rPr>
  </w:style>
  <w:style w:type="character" w:customStyle="1" w:styleId="40">
    <w:name w:val="批注主题 Char"/>
    <w:basedOn w:val="30"/>
    <w:link w:val="16"/>
    <w:autoRedefine/>
    <w:semiHidden/>
    <w:qFormat/>
    <w:uiPriority w:val="99"/>
    <w:rPr>
      <w:b/>
      <w:bCs/>
      <w:kern w:val="2"/>
      <w:sz w:val="21"/>
      <w:szCs w:val="22"/>
    </w:rPr>
  </w:style>
  <w:style w:type="character" w:customStyle="1" w:styleId="41">
    <w:name w:val="正文文本 Char"/>
    <w:basedOn w:val="20"/>
    <w:link w:val="7"/>
    <w:autoRedefine/>
    <w:qFormat/>
    <w:uiPriority w:val="0"/>
    <w:rPr>
      <w:rFonts w:ascii="Times New Roman" w:hAnsi="Times New Roman" w:eastAsia="宋体" w:cs="Times New Roman"/>
      <w:kern w:val="2"/>
      <w:sz w:val="21"/>
      <w:szCs w:val="24"/>
    </w:rPr>
  </w:style>
  <w:style w:type="paragraph" w:customStyle="1" w:styleId="42">
    <w:name w:val="msolistparagraph"/>
    <w:basedOn w:val="1"/>
    <w:autoRedefine/>
    <w:qFormat/>
    <w:uiPriority w:val="99"/>
    <w:pPr>
      <w:ind w:firstLine="420" w:firstLineChars="200"/>
    </w:pPr>
    <w:rPr>
      <w:rFonts w:cs="Calibri"/>
    </w:rPr>
  </w:style>
  <w:style w:type="character" w:customStyle="1" w:styleId="43">
    <w:name w:val="font31"/>
    <w:basedOn w:val="20"/>
    <w:autoRedefine/>
    <w:qFormat/>
    <w:uiPriority w:val="0"/>
    <w:rPr>
      <w:rFonts w:hint="eastAsia" w:ascii="宋体" w:hAnsi="宋体" w:eastAsia="宋体" w:cs="宋体"/>
      <w:color w:val="000000"/>
      <w:sz w:val="20"/>
      <w:szCs w:val="20"/>
      <w:u w:val="none"/>
    </w:rPr>
  </w:style>
  <w:style w:type="character" w:customStyle="1" w:styleId="44">
    <w:name w:val="font01"/>
    <w:basedOn w:val="20"/>
    <w:autoRedefine/>
    <w:qFormat/>
    <w:uiPriority w:val="0"/>
    <w:rPr>
      <w:rFonts w:hint="eastAsia" w:ascii="宋体" w:hAnsi="宋体" w:eastAsia="宋体" w:cs="宋体"/>
      <w:b/>
      <w:bCs/>
      <w:color w:val="FF0000"/>
      <w:sz w:val="20"/>
      <w:szCs w:val="20"/>
      <w:u w:val="none"/>
    </w:rPr>
  </w:style>
  <w:style w:type="character" w:customStyle="1" w:styleId="45">
    <w:name w:val="font41"/>
    <w:basedOn w:val="20"/>
    <w:autoRedefine/>
    <w:qFormat/>
    <w:uiPriority w:val="0"/>
    <w:rPr>
      <w:rFonts w:hint="default" w:ascii="MingLiU" w:hAnsi="MingLiU" w:eastAsia="MingLiU" w:cs="MingLiU"/>
      <w:color w:val="FF0000"/>
      <w:sz w:val="20"/>
      <w:szCs w:val="20"/>
      <w:u w:val="none"/>
    </w:rPr>
  </w:style>
  <w:style w:type="character" w:customStyle="1" w:styleId="46">
    <w:name w:val="font11"/>
    <w:basedOn w:val="20"/>
    <w:autoRedefine/>
    <w:qFormat/>
    <w:uiPriority w:val="0"/>
    <w:rPr>
      <w:rFonts w:hint="eastAsia" w:ascii="宋体" w:hAnsi="宋体" w:eastAsia="宋体" w:cs="宋体"/>
      <w:color w:val="000000"/>
      <w:sz w:val="22"/>
      <w:szCs w:val="22"/>
      <w:u w:val="none"/>
    </w:rPr>
  </w:style>
  <w:style w:type="table" w:customStyle="1" w:styleId="47">
    <w:name w:val="Table Normal"/>
    <w:autoRedefine/>
    <w:unhideWhenUsed/>
    <w:qFormat/>
    <w:uiPriority w:val="0"/>
    <w:tblPr>
      <w:tblCellMar>
        <w:top w:w="0" w:type="dxa"/>
        <w:left w:w="0" w:type="dxa"/>
        <w:bottom w:w="0" w:type="dxa"/>
        <w:right w:w="0" w:type="dxa"/>
      </w:tblCellMar>
    </w:tblPr>
  </w:style>
  <w:style w:type="paragraph" w:customStyle="1" w:styleId="48">
    <w:name w:val="null3"/>
    <w:autoRedefine/>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39</Pages>
  <Words>1904</Words>
  <Characters>2117</Characters>
  <Lines>73</Lines>
  <Paragraphs>20</Paragraphs>
  <TotalTime>27</TotalTime>
  <ScaleCrop>false</ScaleCrop>
  <LinksUpToDate>false</LinksUpToDate>
  <CharactersWithSpaces>2205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2022-04-21T08:45:00Z</dcterms:created>
  <dc:creator>Administrator</dc:creator>
  <cp:lastModifiedBy>张雯</cp:lastModifiedBy>
  <cp:lastPrinted>2024-08-20T03:13:00Z</cp:lastPrinted>
  <dcterms:modified xsi:type="dcterms:W3CDTF">2025-10-13T08:30:15Z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735DF37C916C4BD6B5A538B2BBC87C81_13</vt:lpwstr>
  </property>
  <property fmtid="{D5CDD505-2E9C-101B-9397-08002B2CF9AE}" pid="4" name="KSOTemplateDocerSaveRecord">
    <vt:lpwstr>eyJoZGlkIjoiZWE4MTBlZTRmMDA2MTU3MDkxYmRlZTBjOWU3NTMxYjciLCJ1c2VySWQiOiIxNTYwMjU4MDIwIn0=</vt:lpwstr>
  </property>
</Properties>
</file>