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480" w:lineRule="auto"/>
        <w:jc w:val="center"/>
        <w:rPr>
          <w:rFonts w:ascii="宋体" w:hAnsi="宋体" w:eastAsia="宋体" w:cs="宋体"/>
          <w:sz w:val="36"/>
          <w:szCs w:val="36"/>
          <w:highlight w:val="none"/>
        </w:rPr>
      </w:pPr>
      <w:r>
        <w:rPr>
          <w:rFonts w:hint="eastAsia" w:ascii="宋体" w:hAnsi="宋体" w:eastAsia="宋体" w:cs="宋体"/>
          <w:sz w:val="32"/>
          <w:szCs w:val="32"/>
          <w:highlight w:val="none"/>
        </w:rPr>
        <w:t>采购编号：</w:t>
      </w:r>
      <w:r>
        <w:rPr>
          <w:rFonts w:ascii="宋体" w:hAnsi="宋体" w:eastAsia="宋体" w:cs="宋体"/>
          <w:sz w:val="32"/>
          <w:szCs w:val="32"/>
          <w:highlight w:val="none"/>
        </w:rPr>
        <w:t>DSJW(202</w:t>
      </w:r>
      <w:r>
        <w:rPr>
          <w:rFonts w:hint="eastAsia" w:ascii="宋体" w:hAnsi="宋体" w:eastAsia="宋体" w:cs="宋体"/>
          <w:sz w:val="32"/>
          <w:szCs w:val="32"/>
          <w:highlight w:val="none"/>
          <w:lang w:val="en-US" w:eastAsia="zh-CN"/>
        </w:rPr>
        <w:t>5</w:t>
      </w:r>
      <w:r>
        <w:rPr>
          <w:rFonts w:ascii="宋体" w:hAnsi="宋体" w:eastAsia="宋体" w:cs="宋体"/>
          <w:sz w:val="32"/>
          <w:szCs w:val="32"/>
          <w:highlight w:val="none"/>
        </w:rPr>
        <w:t>)</w:t>
      </w:r>
      <w:r>
        <w:rPr>
          <w:rFonts w:hint="eastAsia" w:ascii="宋体" w:hAnsi="宋体" w:eastAsia="宋体" w:cs="宋体"/>
          <w:sz w:val="32"/>
          <w:szCs w:val="32"/>
          <w:highlight w:val="none"/>
          <w:lang w:val="en-US" w:eastAsia="zh-CN"/>
        </w:rPr>
        <w:t>031</w:t>
      </w:r>
      <w:r>
        <w:rPr>
          <w:rFonts w:ascii="宋体" w:hAnsi="宋体" w:eastAsia="宋体" w:cs="宋体"/>
          <w:sz w:val="32"/>
          <w:szCs w:val="32"/>
          <w:highlight w:val="none"/>
        </w:rPr>
        <w:t>号</w:t>
      </w:r>
    </w:p>
    <w:p>
      <w:pPr>
        <w:keepNext w:val="0"/>
        <w:keepLines w:val="0"/>
        <w:pageBreakBefore w:val="0"/>
        <w:widowControl w:val="0"/>
        <w:kinsoku/>
        <w:wordWrap/>
        <w:overflowPunct/>
        <w:topLinePunct w:val="0"/>
        <w:bidi w:val="0"/>
        <w:spacing w:line="480" w:lineRule="auto"/>
        <w:jc w:val="center"/>
        <w:rPr>
          <w:rFonts w:ascii="宋体" w:hAnsi="宋体" w:eastAsia="宋体" w:cs="宋体"/>
          <w:sz w:val="52"/>
          <w:szCs w:val="52"/>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52"/>
          <w:szCs w:val="52"/>
          <w:highlight w:val="none"/>
        </w:rPr>
      </w:pPr>
      <w:r>
        <w:rPr>
          <w:rFonts w:hint="eastAsia" w:ascii="宋体" w:hAnsi="宋体" w:eastAsia="宋体" w:cs="宋体"/>
          <w:sz w:val="52"/>
          <w:szCs w:val="52"/>
          <w:highlight w:val="none"/>
        </w:rPr>
        <w:t>德阳市精神卫生中心</w:t>
      </w:r>
    </w:p>
    <w:p>
      <w:pPr>
        <w:keepNext w:val="0"/>
        <w:keepLines w:val="0"/>
        <w:pageBreakBefore w:val="0"/>
        <w:widowControl w:val="0"/>
        <w:kinsoku/>
        <w:wordWrap/>
        <w:overflowPunct/>
        <w:topLinePunct w:val="0"/>
        <w:bidi w:val="0"/>
        <w:spacing w:line="594" w:lineRule="exact"/>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val="en-US" w:eastAsia="zh-CN"/>
        </w:rPr>
        <w:t>2025年救护车采购项目</w:t>
      </w:r>
    </w:p>
    <w:p>
      <w:pPr>
        <w:keepNext w:val="0"/>
        <w:keepLines w:val="0"/>
        <w:pageBreakBefore w:val="0"/>
        <w:widowControl w:val="0"/>
        <w:kinsoku/>
        <w:wordWrap/>
        <w:overflowPunct/>
        <w:topLinePunct w:val="0"/>
        <w:bidi w:val="0"/>
        <w:spacing w:line="480" w:lineRule="auto"/>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44"/>
          <w:szCs w:val="44"/>
          <w:highlight w:val="none"/>
        </w:rPr>
      </w:pPr>
      <w:r>
        <w:rPr>
          <w:rFonts w:hint="eastAsia" w:ascii="宋体" w:hAnsi="宋体" w:eastAsia="宋体" w:cs="宋体"/>
          <w:sz w:val="44"/>
          <w:szCs w:val="44"/>
          <w:highlight w:val="none"/>
        </w:rPr>
        <w:t xml:space="preserve">                   </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院内</w:t>
      </w:r>
      <w:r>
        <w:rPr>
          <w:rFonts w:hint="eastAsia" w:ascii="宋体" w:hAnsi="宋体" w:eastAsia="宋体" w:cs="宋体"/>
          <w:b/>
          <w:bCs/>
          <w:sz w:val="52"/>
          <w:szCs w:val="52"/>
          <w:highlight w:val="none"/>
        </w:rPr>
        <w:t>竞争性</w:t>
      </w:r>
      <w:r>
        <w:rPr>
          <w:rFonts w:hint="eastAsia" w:ascii="宋体" w:hAnsi="宋体" w:eastAsia="宋体" w:cs="宋体"/>
          <w:b/>
          <w:bCs/>
          <w:sz w:val="52"/>
          <w:szCs w:val="52"/>
          <w:highlight w:val="none"/>
          <w:lang w:val="en-US" w:eastAsia="zh-CN"/>
        </w:rPr>
        <w:t>谈判</w:t>
      </w:r>
      <w:r>
        <w:rPr>
          <w:rFonts w:hint="eastAsia" w:ascii="宋体" w:hAnsi="宋体" w:eastAsia="宋体" w:cs="宋体"/>
          <w:b/>
          <w:bCs/>
          <w:sz w:val="52"/>
          <w:szCs w:val="52"/>
          <w:highlight w:val="none"/>
        </w:rPr>
        <w:t>文件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采购人：德阳市精神卫生中心</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本</w:t>
      </w:r>
      <w:r>
        <w:rPr>
          <w:rFonts w:hint="eastAsia" w:ascii="宋体" w:hAnsi="宋体" w:eastAsia="宋体" w:cs="宋体"/>
          <w:sz w:val="32"/>
          <w:szCs w:val="32"/>
          <w:highlight w:val="none"/>
          <w:lang w:eastAsia="zh-CN"/>
        </w:rPr>
        <w:t>谈判</w:t>
      </w:r>
      <w:r>
        <w:rPr>
          <w:rFonts w:hint="eastAsia" w:ascii="宋体" w:hAnsi="宋体" w:eastAsia="宋体" w:cs="宋体"/>
          <w:sz w:val="32"/>
          <w:szCs w:val="32"/>
          <w:highlight w:val="none"/>
        </w:rPr>
        <w:t>文件由德阳市精神卫生中心编制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月</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bidi w:val="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pPr>
        <w:pStyle w:val="7"/>
        <w:keepNext w:val="0"/>
        <w:keepLines w:val="0"/>
        <w:pageBreakBefore w:val="0"/>
        <w:widowControl w:val="0"/>
        <w:kinsoku/>
        <w:wordWrap/>
        <w:overflowPunct/>
        <w:topLinePunct w:val="0"/>
        <w:bidi w:val="0"/>
        <w:rPr>
          <w:highlight w:val="none"/>
        </w:rPr>
      </w:pPr>
    </w:p>
    <w:p>
      <w:pPr>
        <w:pStyle w:val="14"/>
        <w:keepNext w:val="0"/>
        <w:keepLines w:val="0"/>
        <w:pageBreakBefore w:val="0"/>
        <w:widowControl w:val="0"/>
        <w:tabs>
          <w:tab w:val="right" w:leader="dot" w:pos="8306"/>
        </w:tabs>
        <w:kinsoku/>
        <w:wordWrap/>
        <w:overflowPunct/>
        <w:topLinePunct w:val="0"/>
        <w:bidi w:val="0"/>
        <w:rPr>
          <w:sz w:val="28"/>
          <w:szCs w:val="28"/>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_Toc12029 </w:instrText>
      </w:r>
      <w:r>
        <w:rPr>
          <w:rFonts w:hint="eastAsia" w:ascii="宋体" w:hAnsi="宋体" w:eastAsia="宋体" w:cs="宋体"/>
          <w:sz w:val="28"/>
          <w:szCs w:val="28"/>
          <w:highlight w:val="none"/>
        </w:rPr>
        <w:fldChar w:fldCharType="separate"/>
      </w:r>
      <w:r>
        <w:rPr>
          <w:rFonts w:hint="eastAsia"/>
          <w:sz w:val="28"/>
          <w:szCs w:val="28"/>
          <w:highlight w:val="none"/>
        </w:rPr>
        <w:t xml:space="preserve">第一章   </w:t>
      </w:r>
      <w:r>
        <w:rPr>
          <w:rFonts w:hint="eastAsia"/>
          <w:sz w:val="28"/>
          <w:szCs w:val="28"/>
          <w:highlight w:val="none"/>
          <w:lang w:val="en-US" w:eastAsia="zh-CN"/>
        </w:rPr>
        <w:t>谈判</w:t>
      </w:r>
      <w:r>
        <w:rPr>
          <w:rFonts w:hint="eastAsia"/>
          <w:sz w:val="28"/>
          <w:szCs w:val="28"/>
          <w:highlight w:val="none"/>
        </w:rPr>
        <w:t>邀请公告</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_Toc22648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第二章  谈判须知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_Toc28148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kern w:val="0"/>
          <w:sz w:val="28"/>
          <w:szCs w:val="28"/>
          <w:highlight w:val="none"/>
        </w:rPr>
        <w:t>第三章  采购项目</w:t>
      </w:r>
      <w:r>
        <w:rPr>
          <w:rFonts w:hint="eastAsia" w:ascii="宋体" w:hAnsi="宋体" w:eastAsia="宋体" w:cs="宋体"/>
          <w:b w:val="0"/>
          <w:bCs w:val="0"/>
          <w:kern w:val="0"/>
          <w:sz w:val="28"/>
          <w:szCs w:val="28"/>
          <w:highlight w:val="none"/>
          <w:lang w:val="en-US" w:eastAsia="zh-CN"/>
        </w:rPr>
        <w:t>技术</w:t>
      </w:r>
      <w:r>
        <w:rPr>
          <w:rFonts w:hint="eastAsia" w:ascii="宋体" w:hAnsi="宋体" w:eastAsia="宋体" w:cs="宋体"/>
          <w:b w:val="0"/>
          <w:bCs w:val="0"/>
          <w:kern w:val="0"/>
          <w:sz w:val="28"/>
          <w:szCs w:val="28"/>
          <w:highlight w:val="none"/>
        </w:rPr>
        <w:t>、商务</w:t>
      </w:r>
      <w:r>
        <w:rPr>
          <w:rFonts w:hint="eastAsia" w:ascii="宋体" w:hAnsi="宋体" w:eastAsia="宋体" w:cs="宋体"/>
          <w:b w:val="0"/>
          <w:bCs w:val="0"/>
          <w:kern w:val="0"/>
          <w:sz w:val="28"/>
          <w:szCs w:val="28"/>
          <w:highlight w:val="none"/>
          <w:lang w:val="en-US" w:eastAsia="zh-CN"/>
        </w:rPr>
        <w:t>及</w:t>
      </w:r>
      <w:r>
        <w:rPr>
          <w:rFonts w:hint="eastAsia" w:ascii="宋体" w:hAnsi="宋体" w:eastAsia="宋体" w:cs="宋体"/>
          <w:b w:val="0"/>
          <w:bCs w:val="0"/>
          <w:kern w:val="0"/>
          <w:sz w:val="28"/>
          <w:szCs w:val="28"/>
          <w:highlight w:val="none"/>
        </w:rPr>
        <w:t>其他要求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_Toc16230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第四章  响应文件内容及制作要求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2</w:t>
      </w:r>
    </w:p>
    <w:p>
      <w:pPr>
        <w:pStyle w:val="14"/>
        <w:keepNext w:val="0"/>
        <w:keepLines w:val="0"/>
        <w:pageBreakBefore w:val="0"/>
        <w:widowControl w:val="0"/>
        <w:tabs>
          <w:tab w:val="right" w:leader="dot" w:pos="8306"/>
        </w:tabs>
        <w:kinsoku/>
        <w:wordWrap/>
        <w:overflowPunct/>
        <w:topLinePunct w:val="0"/>
        <w:bidi w:val="0"/>
        <w:rPr>
          <w:rFonts w:hint="eastAsia" w:eastAsia="宋体"/>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_Toc32336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zh-CN"/>
        </w:rPr>
        <w:t xml:space="preserve">第五章  </w:t>
      </w:r>
      <w:r>
        <w:rPr>
          <w:rFonts w:hint="eastAsia" w:ascii="宋体" w:hAnsi="宋体" w:eastAsia="宋体" w:cs="宋体"/>
          <w:b w:val="0"/>
          <w:bCs w:val="0"/>
          <w:sz w:val="28"/>
          <w:szCs w:val="28"/>
          <w:highlight w:val="none"/>
        </w:rPr>
        <w:t>开评标及定标</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4</w:t>
      </w:r>
    </w:p>
    <w:p>
      <w:pPr>
        <w:pStyle w:val="14"/>
        <w:keepNext w:val="0"/>
        <w:keepLines w:val="0"/>
        <w:pageBreakBefore w:val="0"/>
        <w:widowControl w:val="0"/>
        <w:tabs>
          <w:tab w:val="right" w:leader="dot" w:pos="8306"/>
        </w:tabs>
        <w:kinsoku/>
        <w:wordWrap/>
        <w:overflowPunct/>
        <w:topLinePunct w:val="0"/>
        <w:bidi w:val="0"/>
        <w:rPr>
          <w:rFonts w:hint="eastAsia" w:eastAsia="宋体"/>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_Toc11523 </w:instrText>
      </w:r>
      <w:r>
        <w:rPr>
          <w:rFonts w:hint="eastAsia" w:ascii="宋体" w:hAnsi="宋体" w:eastAsia="宋体" w:cs="宋体"/>
          <w:sz w:val="28"/>
          <w:szCs w:val="28"/>
          <w:highlight w:val="none"/>
        </w:rPr>
        <w:fldChar w:fldCharType="separate"/>
      </w:r>
      <w:r>
        <w:rPr>
          <w:rFonts w:hint="eastAsia"/>
          <w:bCs/>
          <w:sz w:val="28"/>
          <w:szCs w:val="28"/>
          <w:highlight w:val="none"/>
        </w:rPr>
        <w:t>第六章  响应文件格式</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5</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szCs w:val="32"/>
          <w:highlight w:val="none"/>
        </w:rPr>
        <w:fldChar w:fldCharType="end"/>
      </w:r>
    </w:p>
    <w:p>
      <w:pPr>
        <w:pStyle w:val="3"/>
        <w:keepNext w:val="0"/>
        <w:keepLines w:val="0"/>
        <w:pageBreakBefore w:val="0"/>
        <w:widowControl w:val="0"/>
        <w:kinsoku/>
        <w:wordWrap/>
        <w:overflowPunct/>
        <w:topLinePunct w:val="0"/>
        <w:bidi w:val="0"/>
        <w:spacing w:before="260" w:after="260" w:line="600" w:lineRule="exact"/>
        <w:jc w:val="center"/>
        <w:outlineLvl w:val="0"/>
        <w:rPr>
          <w:rFonts w:ascii="宋体" w:hAnsi="宋体" w:cs="宋体"/>
          <w:szCs w:val="32"/>
          <w:highlight w:val="none"/>
        </w:rPr>
      </w:pPr>
      <w:bookmarkStart w:id="0" w:name="_Toc26003"/>
      <w:bookmarkStart w:id="1" w:name="_Toc12029"/>
      <w:r>
        <w:rPr>
          <w:rFonts w:hint="eastAsia"/>
          <w:sz w:val="36"/>
          <w:szCs w:val="36"/>
          <w:highlight w:val="none"/>
        </w:rPr>
        <w:t xml:space="preserve">第一章   </w:t>
      </w:r>
      <w:r>
        <w:rPr>
          <w:rFonts w:hint="eastAsia"/>
          <w:sz w:val="36"/>
          <w:szCs w:val="36"/>
          <w:highlight w:val="none"/>
          <w:lang w:val="en-US" w:eastAsia="zh-CN"/>
        </w:rPr>
        <w:t>谈判</w:t>
      </w:r>
      <w:r>
        <w:rPr>
          <w:rFonts w:hint="eastAsia"/>
          <w:sz w:val="36"/>
          <w:szCs w:val="36"/>
          <w:highlight w:val="none"/>
        </w:rPr>
        <w:t>邀请公告</w:t>
      </w:r>
      <w:bookmarkEnd w:id="0"/>
      <w:bookmarkEnd w:id="1"/>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hAnsi="宋体" w:eastAsia="仿宋_GB2312"/>
          <w:sz w:val="32"/>
          <w:szCs w:val="32"/>
          <w:highlight w:val="none"/>
        </w:rPr>
        <w:t>德阳市精神卫生中心2025年</w:t>
      </w:r>
      <w:r>
        <w:rPr>
          <w:rFonts w:hint="eastAsia" w:ascii="仿宋_GB2312" w:hAnsi="宋体" w:eastAsia="仿宋_GB2312"/>
          <w:sz w:val="32"/>
          <w:szCs w:val="32"/>
          <w:highlight w:val="none"/>
          <w:lang w:val="en-US" w:eastAsia="zh-CN"/>
        </w:rPr>
        <w:t>救护车采购项目拟</w:t>
      </w:r>
      <w:r>
        <w:rPr>
          <w:rFonts w:hint="eastAsia" w:ascii="仿宋_GB2312" w:hAnsi="宋体" w:eastAsia="仿宋_GB2312"/>
          <w:sz w:val="32"/>
          <w:szCs w:val="32"/>
          <w:highlight w:val="none"/>
        </w:rPr>
        <w:t>采用</w:t>
      </w:r>
      <w:r>
        <w:rPr>
          <w:rFonts w:hint="eastAsia" w:ascii="仿宋_GB2312" w:hAnsi="宋体" w:eastAsia="仿宋_GB2312"/>
          <w:sz w:val="32"/>
          <w:szCs w:val="32"/>
          <w:highlight w:val="none"/>
          <w:lang w:val="en-US" w:eastAsia="zh-CN"/>
        </w:rPr>
        <w:t>院内</w:t>
      </w:r>
      <w:r>
        <w:rPr>
          <w:rFonts w:hint="eastAsia" w:ascii="仿宋_GB2312" w:hAnsi="宋体" w:eastAsia="仿宋_GB2312"/>
          <w:sz w:val="32"/>
          <w:szCs w:val="32"/>
          <w:highlight w:val="none"/>
        </w:rPr>
        <w:t>竞争性谈判的方式进行采购</w:t>
      </w:r>
      <w:r>
        <w:rPr>
          <w:rFonts w:hint="eastAsia" w:ascii="仿宋_GB2312" w:eastAsia="仿宋_GB2312"/>
          <w:sz w:val="32"/>
          <w:szCs w:val="32"/>
          <w:highlight w:val="none"/>
        </w:rPr>
        <w:t>，兹邀请符合本次采购要求的供应商参加。</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一、采购项目基本情况</w:t>
      </w:r>
      <w:r>
        <w:rPr>
          <w:rFonts w:hint="eastAsia" w:ascii="仿宋_GB2312" w:eastAsia="仿宋_GB2312"/>
          <w:b/>
          <w:sz w:val="32"/>
          <w:szCs w:val="32"/>
          <w:highlight w:val="none"/>
        </w:rPr>
        <w:cr/>
      </w:r>
      <w:r>
        <w:rPr>
          <w:rFonts w:hint="eastAsia" w:ascii="仿宋_GB2312" w:eastAsia="仿宋_GB2312"/>
          <w:sz w:val="32"/>
          <w:szCs w:val="32"/>
          <w:highlight w:val="none"/>
        </w:rPr>
        <w:t xml:space="preserve">    1、采购编号：DSJW(202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2、项目名称：</w:t>
      </w:r>
      <w:r>
        <w:rPr>
          <w:rFonts w:hint="eastAsia" w:ascii="仿宋_GB2312" w:hAnsi="宋体" w:eastAsia="仿宋_GB2312"/>
          <w:sz w:val="32"/>
          <w:szCs w:val="32"/>
          <w:highlight w:val="none"/>
        </w:rPr>
        <w:t>德阳市精神卫生中心2025年</w:t>
      </w:r>
      <w:r>
        <w:rPr>
          <w:rFonts w:hint="eastAsia" w:ascii="仿宋_GB2312" w:hAnsi="宋体" w:eastAsia="仿宋_GB2312"/>
          <w:sz w:val="32"/>
          <w:szCs w:val="32"/>
          <w:highlight w:val="none"/>
          <w:lang w:val="en-US" w:eastAsia="zh-CN"/>
        </w:rPr>
        <w:t>救护车采购项目；</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资金来源</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自筹；</w:t>
      </w:r>
    </w:p>
    <w:p>
      <w:pPr>
        <w:pStyle w:val="2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4、采购预算：24万元。</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hAnsi="Calibri" w:eastAsia="仿宋_GB2312" w:cs="Times New Roman"/>
          <w:sz w:val="32"/>
          <w:szCs w:val="32"/>
          <w:highlight w:val="none"/>
        </w:rPr>
      </w:pPr>
      <w:r>
        <w:rPr>
          <w:rFonts w:hint="eastAsia" w:ascii="仿宋_GB2312" w:eastAsia="仿宋_GB2312"/>
          <w:b/>
          <w:sz w:val="32"/>
          <w:szCs w:val="32"/>
          <w:highlight w:val="none"/>
        </w:rPr>
        <w:t>二、供应商资格要求</w:t>
      </w:r>
      <w:r>
        <w:rPr>
          <w:rFonts w:hint="eastAsia" w:ascii="仿宋_GB2312" w:eastAsia="仿宋_GB2312"/>
          <w:sz w:val="32"/>
          <w:szCs w:val="32"/>
          <w:highlight w:val="none"/>
        </w:rPr>
        <w:cr/>
      </w:r>
      <w:r>
        <w:rPr>
          <w:rFonts w:hint="eastAsia" w:ascii="仿宋_GB2312" w:eastAsia="仿宋_GB2312"/>
          <w:sz w:val="32"/>
          <w:szCs w:val="32"/>
          <w:highlight w:val="none"/>
        </w:rPr>
        <w:t xml:space="preserve">    </w:t>
      </w:r>
      <w:r>
        <w:rPr>
          <w:rFonts w:hint="eastAsia" w:ascii="仿宋_GB2312" w:hAnsi="Calibri" w:eastAsia="仿宋_GB2312"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highlight w:val="none"/>
          <w:lang w:eastAsia="zh-CN"/>
        </w:rPr>
      </w:pPr>
      <w:r>
        <w:rPr>
          <w:rFonts w:hint="eastAsia" w:ascii="仿宋_GB2312" w:eastAsia="仿宋_GB2312" w:cs="Times New Roman"/>
          <w:sz w:val="32"/>
          <w:szCs w:val="32"/>
          <w:highlight w:val="none"/>
        </w:rPr>
        <w:t>6、法律、行政法规规定的其他条件</w:t>
      </w:r>
      <w:r>
        <w:rPr>
          <w:rFonts w:hint="eastAsia" w:ascii="仿宋_GB2312"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highlight w:val="none"/>
          <w:lang w:val="en-US" w:eastAsia="zh-CN"/>
        </w:rPr>
        <w:t>7、</w:t>
      </w:r>
      <w:r>
        <w:rPr>
          <w:rFonts w:hint="eastAsia" w:ascii="仿宋_GB2312" w:eastAsia="仿宋_GB2312" w:cs="Times New Roman"/>
          <w:sz w:val="32"/>
          <w:szCs w:val="32"/>
        </w:rPr>
        <w:t>根据采购项目提出的特殊条件：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本项目涉及的随车配件</w:t>
      </w:r>
      <w:r>
        <w:rPr>
          <w:rFonts w:hint="eastAsia" w:ascii="仿宋_GB2312" w:eastAsia="仿宋_GB2312" w:cs="Times New Roman"/>
          <w:sz w:val="32"/>
          <w:szCs w:val="32"/>
          <w:lang w:eastAsia="zh-CN"/>
        </w:rPr>
        <w:t>，</w:t>
      </w:r>
      <w:r>
        <w:rPr>
          <w:rFonts w:hint="eastAsia" w:ascii="仿宋_GB2312" w:eastAsia="仿宋_GB2312" w:cs="Times New Roman"/>
          <w:sz w:val="32"/>
          <w:szCs w:val="32"/>
        </w:rPr>
        <w:t>供应商须符合《医疗器械监督管理条例》要求并提供供应商经营该产品的经营许可/经营备案证明材料；产品须符合《医疗器械注册与备案管理办法》要求并提供产品的注册/备案证明材料</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、严禁参加本次采购活动的供应商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 w:hAnsi="仿宋" w:eastAsia="仿宋"/>
          <w:sz w:val="32"/>
          <w:szCs w:val="32"/>
          <w:highlight w:val="none"/>
          <w:lang w:val="en-US" w:eastAsia="zh-CN"/>
        </w:rPr>
        <w:t>被我中心列入供应商黑名单的供应商。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四</w:t>
      </w:r>
      <w:r>
        <w:rPr>
          <w:rFonts w:hint="eastAsia" w:ascii="仿宋" w:hAnsi="仿宋" w:eastAsia="仿宋"/>
          <w:b/>
          <w:sz w:val="32"/>
          <w:szCs w:val="32"/>
          <w:highlight w:val="none"/>
        </w:rPr>
        <w:t>、报名时间、地点：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自202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14</w:t>
      </w:r>
      <w:r>
        <w:rPr>
          <w:rFonts w:hint="eastAsia" w:ascii="仿宋_GB2312" w:hAnsi="宋体" w:eastAsia="仿宋_GB2312"/>
          <w:sz w:val="32"/>
          <w:szCs w:val="32"/>
          <w:highlight w:val="none"/>
        </w:rPr>
        <w:t>日至202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20</w:t>
      </w:r>
      <w:r>
        <w:rPr>
          <w:rFonts w:hint="eastAsia" w:ascii="仿宋_GB2312" w:hAnsi="宋体" w:eastAsia="仿宋_GB2312"/>
          <w:sz w:val="32"/>
          <w:szCs w:val="32"/>
          <w:highlight w:val="none"/>
        </w:rPr>
        <w:t>日上午8:30- 12:00下午14:30-17:00（北京时间，法定节假日除外）在四川省德阳市旌阳区华山南路二段461号</w:t>
      </w:r>
      <w:r>
        <w:rPr>
          <w:rFonts w:hint="eastAsia" w:ascii="仿宋_GB2312" w:hAnsi="宋体" w:eastAsia="仿宋_GB2312"/>
          <w:sz w:val="32"/>
          <w:szCs w:val="32"/>
          <w:highlight w:val="none"/>
          <w:lang w:val="en-US" w:eastAsia="zh-CN"/>
        </w:rPr>
        <w:t>行政办公楼203室</w:t>
      </w:r>
      <w:r>
        <w:rPr>
          <w:rFonts w:hint="eastAsia" w:ascii="仿宋_GB2312" w:hAnsi="宋体" w:eastAsia="仿宋_GB2312"/>
          <w:sz w:val="32"/>
          <w:szCs w:val="32"/>
          <w:highlight w:val="none"/>
        </w:rPr>
        <w:t>报名。经办人员</w:t>
      </w:r>
      <w:r>
        <w:rPr>
          <w:rFonts w:hint="eastAsia" w:ascii="仿宋_GB2312" w:hAnsi="宋体" w:eastAsia="仿宋_GB2312"/>
          <w:sz w:val="32"/>
          <w:szCs w:val="32"/>
          <w:highlight w:val="none"/>
          <w:lang w:val="en-US" w:eastAsia="zh-CN"/>
        </w:rPr>
        <w:t>现场或通过本公告电子邮箱</w:t>
      </w:r>
      <w:r>
        <w:rPr>
          <w:rFonts w:hint="eastAsia" w:ascii="仿宋_GB2312" w:hAnsi="宋体" w:eastAsia="仿宋_GB2312"/>
          <w:sz w:val="32"/>
          <w:szCs w:val="32"/>
          <w:highlight w:val="none"/>
        </w:rPr>
        <w:t>提交以下资料：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1、供应商有效的营业执照副本、税务登记证、组织机构代码证副本复印件（若供应商已办理三证合一的，则只需提供有效的三证合一证书）；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2、法定代表人授权书、法定代表人身份证复印件，授权代表身份证复印件(备注联系电话和邮箱)。</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、供应商廉洁承诺书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在公告附件下载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注：上述报名所需资料均需加盖单位公章。</w:t>
      </w: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hAnsi="宋体" w:eastAsia="仿宋_GB2312"/>
          <w:b/>
          <w:sz w:val="32"/>
          <w:szCs w:val="32"/>
          <w:highlight w:val="none"/>
          <w:lang w:val="en-US" w:eastAsia="zh-CN"/>
        </w:rPr>
        <w:t>五</w:t>
      </w:r>
      <w:r>
        <w:rPr>
          <w:rFonts w:hint="eastAsia" w:ascii="仿宋_GB2312" w:hAnsi="宋体" w:eastAsia="仿宋_GB2312"/>
          <w:b/>
          <w:sz w:val="32"/>
          <w:szCs w:val="32"/>
          <w:highlight w:val="none"/>
        </w:rPr>
        <w:t>、递交响应文件截止时间：</w:t>
      </w:r>
      <w:r>
        <w:rPr>
          <w:rFonts w:hint="eastAsia" w:ascii="仿宋_GB2312" w:hAnsi="宋体" w:eastAsia="仿宋_GB2312"/>
          <w:b/>
          <w:bCs/>
          <w:sz w:val="32"/>
          <w:szCs w:val="32"/>
          <w:highlight w:val="none"/>
        </w:rPr>
        <w:t>202</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lang w:val="en-US" w:eastAsia="zh-CN"/>
        </w:rPr>
        <w:t>10</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23</w:t>
      </w:r>
      <w:r>
        <w:rPr>
          <w:rFonts w:hint="eastAsia" w:ascii="仿宋_GB2312" w:hAnsi="宋体" w:eastAsia="仿宋_GB2312"/>
          <w:b/>
          <w:bCs/>
          <w:sz w:val="32"/>
          <w:szCs w:val="32"/>
          <w:highlight w:val="none"/>
        </w:rPr>
        <w:t>日</w:t>
      </w:r>
      <w:r>
        <w:rPr>
          <w:rFonts w:hint="eastAsia" w:ascii="仿宋_GB2312" w:hAnsi="宋体" w:eastAsia="仿宋_GB2312"/>
          <w:b/>
          <w:bCs/>
          <w:sz w:val="32"/>
          <w:szCs w:val="32"/>
          <w:highlight w:val="none"/>
          <w:lang w:val="en-US" w:eastAsia="zh-CN"/>
        </w:rPr>
        <w:t>15</w:t>
      </w:r>
      <w:r>
        <w:rPr>
          <w:rFonts w:hint="eastAsia" w:ascii="仿宋_GB2312" w:hAnsi="宋体" w:eastAsia="仿宋_GB2312"/>
          <w:b/>
          <w:bCs/>
          <w:sz w:val="32"/>
          <w:szCs w:val="32"/>
          <w:highlight w:val="none"/>
        </w:rPr>
        <w:t>点</w:t>
      </w:r>
      <w:r>
        <w:rPr>
          <w:rFonts w:hint="eastAsia" w:ascii="仿宋_GB2312" w:hAnsi="宋体" w:eastAsia="仿宋_GB2312"/>
          <w:b/>
          <w:bCs/>
          <w:sz w:val="32"/>
          <w:szCs w:val="32"/>
          <w:highlight w:val="none"/>
          <w:lang w:val="en-US" w:eastAsia="zh-CN"/>
        </w:rPr>
        <w:t>00分</w:t>
      </w:r>
      <w:r>
        <w:rPr>
          <w:rFonts w:hint="eastAsia" w:ascii="仿宋_GB2312" w:hAnsi="宋体" w:eastAsia="仿宋_GB2312"/>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六</w:t>
      </w:r>
      <w:r>
        <w:rPr>
          <w:rFonts w:hint="eastAsia" w:ascii="仿宋_GB2312" w:hAnsi="宋体" w:eastAsia="仿宋_GB2312"/>
          <w:b/>
          <w:sz w:val="32"/>
          <w:szCs w:val="32"/>
          <w:highlight w:val="none"/>
        </w:rPr>
        <w:t>、递交响应文件地点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响应文件必须在递交响应文件截止时间前送达德阳市精神卫生中心</w:t>
      </w:r>
      <w:r>
        <w:rPr>
          <w:rFonts w:hint="eastAsia" w:ascii="仿宋_GB2312" w:hAnsi="宋体" w:eastAsia="仿宋_GB2312"/>
          <w:sz w:val="32"/>
          <w:szCs w:val="32"/>
          <w:highlight w:val="none"/>
          <w:lang w:val="en-US" w:eastAsia="zh-CN"/>
        </w:rPr>
        <w:t>行政办公</w:t>
      </w:r>
      <w:r>
        <w:rPr>
          <w:rFonts w:hint="eastAsia" w:ascii="仿宋_GB2312" w:hAnsi="宋体" w:eastAsia="仿宋_GB2312"/>
          <w:sz w:val="32"/>
          <w:szCs w:val="32"/>
          <w:highlight w:val="none"/>
        </w:rPr>
        <w:t>楼</w:t>
      </w:r>
      <w:r>
        <w:rPr>
          <w:rFonts w:hint="eastAsia" w:ascii="仿宋_GB2312" w:hAnsi="宋体" w:eastAsia="仿宋_GB2312"/>
          <w:sz w:val="32"/>
          <w:szCs w:val="32"/>
          <w:highlight w:val="none"/>
          <w:lang w:val="en-US" w:eastAsia="zh-CN"/>
        </w:rPr>
        <w:t>203室招采科</w:t>
      </w:r>
      <w:r>
        <w:rPr>
          <w:rFonts w:hint="eastAsia" w:ascii="仿宋_GB2312" w:hAnsi="宋体" w:eastAsia="仿宋_GB2312"/>
          <w:sz w:val="32"/>
          <w:szCs w:val="32"/>
          <w:highlight w:val="none"/>
        </w:rPr>
        <w:t>。逾期送达、密封和标注错误的响应文件，恕不接收。拟定开标时间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23</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15</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0，如因工作原因不能按时开标，具体开标时间根据实际情况另行通知。</w:t>
      </w:r>
    </w:p>
    <w:p>
      <w:pPr>
        <w:keepNext w:val="0"/>
        <w:keepLines w:val="0"/>
        <w:pageBreakBefore w:val="0"/>
        <w:widowControl w:val="0"/>
        <w:kinsoku/>
        <w:wordWrap/>
        <w:overflowPunct/>
        <w:topLinePunct w:val="0"/>
        <w:autoSpaceDE/>
        <w:autoSpaceDN/>
        <w:bidi w:val="0"/>
        <w:adjustRightInd/>
        <w:snapToGrid/>
        <w:spacing w:line="580" w:lineRule="exact"/>
        <w:ind w:left="0" w:firstLine="652" w:firstLineChars="203"/>
        <w:textAlignment w:val="auto"/>
        <w:rPr>
          <w:rFonts w:ascii="仿宋_GB2312" w:hAnsi="宋体" w:eastAsia="仿宋_GB2312"/>
          <w:sz w:val="32"/>
          <w:szCs w:val="32"/>
          <w:highlight w:val="none"/>
        </w:rPr>
      </w:pPr>
      <w:r>
        <w:rPr>
          <w:rFonts w:hint="eastAsia" w:ascii="仿宋_GB2312" w:hAnsi="宋体" w:eastAsia="仿宋_GB2312"/>
          <w:b/>
          <w:sz w:val="32"/>
          <w:szCs w:val="32"/>
          <w:highlight w:val="none"/>
          <w:lang w:val="en-US" w:eastAsia="zh-CN"/>
        </w:rPr>
        <w:t>七</w:t>
      </w:r>
      <w:r>
        <w:rPr>
          <w:rFonts w:hint="eastAsia" w:ascii="仿宋_GB2312" w:hAnsi="宋体" w:eastAsia="仿宋_GB2312"/>
          <w:b/>
          <w:sz w:val="32"/>
          <w:szCs w:val="32"/>
          <w:highlight w:val="none"/>
        </w:rPr>
        <w:t>、招标地点：</w:t>
      </w:r>
      <w:r>
        <w:rPr>
          <w:rFonts w:hint="eastAsia" w:ascii="仿宋_GB2312" w:hAnsi="宋体" w:eastAsia="仿宋_GB2312"/>
          <w:sz w:val="32"/>
          <w:szCs w:val="32"/>
          <w:highlight w:val="none"/>
        </w:rPr>
        <w:t>四川省德阳市华山南路二段461号。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ind w:left="0" w:firstLine="643"/>
        <w:textAlignment w:val="auto"/>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八</w:t>
      </w:r>
      <w:r>
        <w:rPr>
          <w:rFonts w:hint="eastAsia" w:ascii="仿宋_GB2312" w:hAnsi="宋体" w:eastAsia="仿宋_GB2312"/>
          <w:b/>
          <w:sz w:val="32"/>
          <w:szCs w:val="32"/>
          <w:highlight w:val="none"/>
        </w:rPr>
        <w:t>、联系方式：</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bCs/>
          <w:sz w:val="32"/>
          <w:szCs w:val="32"/>
          <w:highlight w:val="none"/>
        </w:rPr>
      </w:pPr>
      <w:r>
        <w:rPr>
          <w:rFonts w:hint="eastAsia" w:ascii="仿宋_GB2312" w:hAnsi="宋体" w:eastAsia="仿宋_GB2312"/>
          <w:bCs/>
          <w:sz w:val="32"/>
          <w:szCs w:val="32"/>
          <w:highlight w:val="none"/>
        </w:rPr>
        <w:t>通讯地址：德阳市旌阳区华山南路二段461号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采购文件</w:t>
      </w:r>
      <w:r>
        <w:rPr>
          <w:rFonts w:hint="eastAsia" w:ascii="仿宋_GB2312" w:hAnsi="宋体" w:eastAsia="仿宋_GB2312"/>
          <w:sz w:val="32"/>
          <w:szCs w:val="32"/>
          <w:highlight w:val="none"/>
        </w:rPr>
        <w:t>联系人：</w:t>
      </w:r>
      <w:r>
        <w:rPr>
          <w:rFonts w:hint="eastAsia" w:ascii="仿宋_GB2312" w:hAnsi="宋体" w:eastAsia="仿宋_GB2312"/>
          <w:sz w:val="32"/>
          <w:szCs w:val="32"/>
          <w:highlight w:val="none"/>
          <w:lang w:val="en-US" w:eastAsia="zh-CN"/>
        </w:rPr>
        <w:t>周老师</w:t>
      </w:r>
      <w:r>
        <w:rPr>
          <w:rFonts w:hint="eastAsia" w:ascii="仿宋_GB2312" w:hAnsi="宋体" w:eastAsia="仿宋_GB2312"/>
          <w:sz w:val="32"/>
          <w:szCs w:val="32"/>
          <w:highlight w:val="none"/>
        </w:rPr>
        <w:t xml:space="preserve">  联系电话：0838-2873178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电子邮箱：51958604@qq.com</w:t>
      </w:r>
    </w:p>
    <w:p>
      <w:pPr>
        <w:pStyle w:val="2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    项目需求联系人：杨老师  联系电话：0838-2873178</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仿宋_GB2312" w:hAnsi="宋体" w:eastAsia="仿宋_GB2312" w:cs="Times New Roman"/>
          <w:bCs/>
          <w:kern w:val="2"/>
          <w:sz w:val="32"/>
          <w:szCs w:val="32"/>
          <w:highlight w:val="none"/>
          <w:lang w:val="en-US" w:eastAsia="zh-CN" w:bidi="ar-SA"/>
        </w:rPr>
      </w:pPr>
      <w:r>
        <w:rPr>
          <w:rFonts w:hint="eastAsia" w:ascii="仿宋_GB2312" w:hAnsi="宋体" w:eastAsia="仿宋_GB2312" w:cs="Times New Roman"/>
          <w:bCs/>
          <w:kern w:val="2"/>
          <w:sz w:val="32"/>
          <w:szCs w:val="32"/>
          <w:highlight w:val="none"/>
          <w:lang w:val="en-US" w:eastAsia="zh-CN" w:bidi="ar-SA"/>
        </w:rPr>
        <w:t xml:space="preserve">         德阳市精神卫生中心</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r>
        <w:rPr>
          <w:rFonts w:hint="eastAsia" w:ascii="仿宋_GB2312" w:hAnsi="宋体" w:eastAsia="仿宋_GB2312" w:cs="Times New Roman"/>
          <w:bCs/>
          <w:kern w:val="2"/>
          <w:sz w:val="32"/>
          <w:szCs w:val="32"/>
          <w:highlight w:val="none"/>
          <w:lang w:val="en-US" w:eastAsia="zh-CN" w:bidi="ar-SA"/>
        </w:rPr>
        <w:t xml:space="preserve">       2025年10月</w:t>
      </w:r>
      <w:bookmarkStart w:id="2" w:name="_Toc22648"/>
    </w:p>
    <w:p>
      <w:pPr>
        <w:pStyle w:val="3"/>
        <w:bidi w:val="0"/>
        <w:jc w:val="center"/>
        <w:rPr>
          <w:rFonts w:hint="eastAsia"/>
          <w:highlight w:val="none"/>
          <w:lang w:val="en-US" w:eastAsia="zh-CN"/>
        </w:rPr>
      </w:pPr>
    </w:p>
    <w:p>
      <w:pPr>
        <w:pStyle w:val="3"/>
        <w:bidi w:val="0"/>
        <w:jc w:val="center"/>
        <w:rPr>
          <w:rFonts w:hint="eastAsia"/>
          <w:highlight w:val="none"/>
          <w:lang w:val="en-US" w:eastAsia="zh-CN"/>
        </w:rPr>
      </w:pPr>
    </w:p>
    <w:p>
      <w:pPr>
        <w:pStyle w:val="3"/>
        <w:bidi w:val="0"/>
        <w:spacing w:before="0" w:after="0" w:line="240" w:lineRule="auto"/>
        <w:jc w:val="both"/>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第二章  谈判须知</w:t>
      </w:r>
      <w:bookmarkEnd w:id="2"/>
    </w:p>
    <w:tbl>
      <w:tblPr>
        <w:tblStyle w:val="18"/>
        <w:tblW w:w="922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8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9"/>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序号 </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应知事项 </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keepNext w:val="0"/>
              <w:keepLines w:val="0"/>
              <w:pageBreakBefore w:val="0"/>
              <w:widowControl w:val="0"/>
              <w:kinsoku/>
              <w:wordWrap/>
              <w:overflowPunct/>
              <w:topLinePunct w:val="0"/>
              <w:bidi w:val="0"/>
              <w:spacing w:line="594" w:lineRule="exact"/>
              <w:ind w:right="230"/>
              <w:jc w:val="center"/>
              <w:rPr>
                <w:rFonts w:ascii="仿宋_GB2312" w:hAnsi="宋体" w:eastAsia="仿宋_GB2312" w:cs="Courier New"/>
                <w:sz w:val="32"/>
                <w:szCs w:val="32"/>
                <w:highlight w:val="none"/>
                <w:lang w:val="zh-CN"/>
              </w:rPr>
            </w:pPr>
            <w:r>
              <w:rPr>
                <w:rFonts w:hint="eastAsia" w:ascii="仿宋_GB2312" w:hAnsi="宋体" w:eastAsia="仿宋_GB2312" w:cs="Courier New"/>
                <w:sz w:val="32"/>
                <w:szCs w:val="32"/>
                <w:highlight w:val="none"/>
                <w:lang w:val="zh-CN"/>
              </w:rPr>
              <w:t>1</w:t>
            </w:r>
          </w:p>
        </w:tc>
        <w:tc>
          <w:tcPr>
            <w:tcW w:w="1785" w:type="dxa"/>
            <w:shd w:val="clear" w:color="auto" w:fill="auto"/>
            <w:vAlign w:val="center"/>
          </w:tcPr>
          <w:p>
            <w:pPr>
              <w:keepNext w:val="0"/>
              <w:keepLines w:val="0"/>
              <w:pageBreakBefore w:val="0"/>
              <w:widowControl w:val="0"/>
              <w:kinsoku/>
              <w:wordWrap/>
              <w:overflowPunct/>
              <w:topLinePunct w:val="0"/>
              <w:bidi w:val="0"/>
              <w:spacing w:line="594" w:lineRule="exact"/>
              <w:ind w:left="38"/>
              <w:jc w:val="center"/>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确定邀请谈判的供应商数量和方式</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zh-CN"/>
              </w:rPr>
              <w:t>本次谈判邀请的供应商数量：</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val="zh-CN"/>
              </w:rPr>
              <w:t>家及以上。</w:t>
            </w:r>
          </w:p>
          <w:p>
            <w:pPr>
              <w:keepNext w:val="0"/>
              <w:keepLines w:val="0"/>
              <w:pageBreakBefore w:val="0"/>
              <w:widowControl w:val="0"/>
              <w:kinsoku/>
              <w:wordWrap/>
              <w:overflowPunct/>
              <w:topLinePunct w:val="0"/>
              <w:bidi w:val="0"/>
              <w:spacing w:line="594" w:lineRule="exact"/>
              <w:ind w:firstLine="320" w:firstLineChars="1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谈判</w:t>
            </w:r>
            <w:r>
              <w:rPr>
                <w:rFonts w:hint="eastAsia" w:ascii="仿宋_GB2312" w:hAnsi="宋体" w:eastAsia="仿宋_GB2312"/>
                <w:sz w:val="32"/>
                <w:szCs w:val="32"/>
                <w:highlight w:val="none"/>
                <w:lang w:val="en-US" w:eastAsia="zh-CN"/>
              </w:rPr>
              <w:t>方</w:t>
            </w:r>
            <w:r>
              <w:rPr>
                <w:rFonts w:hint="eastAsia" w:ascii="仿宋_GB2312" w:hAnsi="宋体" w:eastAsia="仿宋_GB2312"/>
                <w:sz w:val="32"/>
                <w:szCs w:val="32"/>
                <w:highlight w:val="none"/>
                <w:lang w:val="zh-CN"/>
              </w:rPr>
              <w:t>法：符合采购需求、质量和服务相等，报价最低的原则确定成交供应商。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2</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联合体</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en-US" w:eastAsia="zh-CN"/>
              </w:rPr>
              <w:t>不</w:t>
            </w:r>
            <w:r>
              <w:rPr>
                <w:rFonts w:hint="eastAsia" w:ascii="仿宋_GB2312" w:eastAsia="仿宋_GB2312"/>
                <w:sz w:val="32"/>
                <w:szCs w:val="32"/>
                <w:highlight w:val="none"/>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3</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小微企业（监狱企业、残疾人福利单位视同小微企业）价格扣除</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一、小微企业（监狱企业、残疾人福利单位视同小微企业）价格扣除</w:t>
            </w:r>
          </w:p>
          <w:p>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1.参考《政府采购促进中小企业发展管理办法》（财库[2020]46号）的规定，对小型和微型企业产品的价格给予1</w:t>
            </w:r>
            <w:r>
              <w:rPr>
                <w:rFonts w:ascii="仿宋_GB2312" w:hAnsi="宋体" w:eastAsia="仿宋_GB2312"/>
                <w:sz w:val="32"/>
                <w:szCs w:val="32"/>
                <w:highlight w:val="none"/>
              </w:rPr>
              <w:t>0</w:t>
            </w:r>
            <w:r>
              <w:rPr>
                <w:rFonts w:hint="eastAsia" w:ascii="仿宋_GB2312" w:hAnsi="宋体" w:eastAsia="仿宋_GB2312"/>
                <w:sz w:val="32"/>
                <w:szCs w:val="32"/>
                <w:highlight w:val="none"/>
              </w:rPr>
              <w:t>%的价格扣除，用扣除后的价格参与评审。</w:t>
            </w:r>
          </w:p>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2.参加采购活动的中小企业应当提供《中小企业声明函》原件,监狱企业应当提供《监狱企业证明》原件,残疾人福利性单位应当提供《残疾人福利性单位声明函》原件。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default"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4</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leftChars="0"/>
              <w:jc w:val="center"/>
              <w:rPr>
                <w:rFonts w:hint="eastAsia" w:ascii="仿宋_GB2312" w:hAnsi="宋体" w:eastAsia="仿宋_GB2312" w:cs="宋体"/>
                <w:sz w:val="32"/>
                <w:szCs w:val="32"/>
                <w:highlight w:val="none"/>
                <w:lang w:val="en-US" w:eastAsia="zh-CN" w:bidi="ar-SA"/>
              </w:rPr>
            </w:pPr>
            <w:r>
              <w:rPr>
                <w:rFonts w:hint="eastAsia" w:ascii="仿宋_GB2312" w:eastAsia="仿宋_GB2312"/>
                <w:sz w:val="32"/>
                <w:szCs w:val="32"/>
                <w:highlight w:val="none"/>
                <w:lang w:val="en-US" w:eastAsia="zh-CN"/>
              </w:rPr>
              <w:t>采购预算</w:t>
            </w:r>
          </w:p>
        </w:tc>
        <w:tc>
          <w:tcPr>
            <w:tcW w:w="6430" w:type="dxa"/>
            <w:shd w:val="clear" w:color="auto" w:fill="auto"/>
            <w:vAlign w:val="top"/>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cstheme="minorBidi"/>
                <w:b/>
                <w:kern w:val="2"/>
                <w:sz w:val="32"/>
                <w:szCs w:val="32"/>
                <w:highlight w:val="none"/>
                <w:lang w:val="en-US" w:eastAsia="zh-CN" w:bidi="ar-SA"/>
              </w:rPr>
            </w:pPr>
            <w:r>
              <w:rPr>
                <w:rFonts w:hint="eastAsia" w:ascii="仿宋_GB2312" w:hAnsi="宋体" w:eastAsia="仿宋_GB2312"/>
                <w:b/>
                <w:sz w:val="32"/>
                <w:szCs w:val="32"/>
                <w:highlight w:val="none"/>
                <w:lang w:val="en-US" w:eastAsia="zh-CN"/>
              </w:rPr>
              <w:t>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zh-CN" w:eastAsia="zh-CN"/>
              </w:rPr>
            </w:pPr>
            <w:r>
              <w:rPr>
                <w:rFonts w:hint="eastAsia" w:ascii="仿宋_GB2312" w:eastAsia="仿宋_GB2312" w:cs="Courier New"/>
                <w:sz w:val="32"/>
                <w:szCs w:val="32"/>
                <w:highlight w:val="none"/>
                <w:lang w:val="en-US" w:eastAsia="zh-CN"/>
              </w:rPr>
              <w:t>5</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最高限价</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24万元</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rPr>
              <w:t>超过最高限价的</w:t>
            </w:r>
            <w:r>
              <w:rPr>
                <w:rFonts w:hint="eastAsia" w:ascii="仿宋_GB2312" w:hAnsi="宋体" w:eastAsia="仿宋_GB2312"/>
                <w:b/>
                <w:sz w:val="32"/>
                <w:szCs w:val="32"/>
                <w:highlight w:val="none"/>
                <w:lang w:val="en-US" w:eastAsia="zh-CN"/>
              </w:rPr>
              <w:t>报价</w:t>
            </w:r>
            <w:r>
              <w:rPr>
                <w:rFonts w:hint="eastAsia" w:ascii="仿宋_GB2312" w:hAnsi="宋体" w:eastAsia="仿宋_GB2312"/>
                <w:b/>
                <w:sz w:val="32"/>
                <w:szCs w:val="32"/>
                <w:highlight w:val="none"/>
              </w:rPr>
              <w:t>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6</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交货时间</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default" w:ascii="宋体" w:hAnsi="宋体" w:eastAsia="宋体" w:cs="宋体"/>
                <w:sz w:val="21"/>
                <w:szCs w:val="21"/>
                <w:highlight w:val="none"/>
                <w:lang w:val="en-US" w:eastAsia="zh-CN"/>
              </w:rPr>
            </w:pPr>
            <w:r>
              <w:rPr>
                <w:rFonts w:hint="eastAsia" w:ascii="仿宋_GB2312" w:hAnsi="宋体" w:eastAsia="仿宋_GB2312" w:cs="宋体"/>
                <w:kern w:val="0"/>
                <w:sz w:val="32"/>
                <w:szCs w:val="32"/>
                <w:highlight w:val="none"/>
                <w:lang w:val="en-US" w:eastAsia="zh-CN" w:bidi="ar-SA"/>
              </w:rPr>
              <w:t>40个日历天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7</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 w:hAnsi="仿宋" w:eastAsia="仿宋"/>
                <w:sz w:val="32"/>
                <w:szCs w:val="32"/>
                <w:highlight w:val="none"/>
                <w:lang w:val="en-US" w:eastAsia="zh-CN"/>
              </w:rPr>
              <w:t>供应商质疑</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针对采购文件及采购文件中采购需求、采购过程、采购结果的质疑由采购人负责接受并</w:t>
            </w:r>
            <w:r>
              <w:rPr>
                <w:rFonts w:hint="eastAsia" w:ascii="仿宋" w:hAnsi="仿宋" w:eastAsia="仿宋"/>
                <w:sz w:val="32"/>
                <w:szCs w:val="32"/>
                <w:highlight w:val="none"/>
                <w:lang w:val="zh-CN" w:eastAsia="zh-CN"/>
              </w:rPr>
              <w:t>答复。</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通讯地址：德阳市华山南路二段461号</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 系 人：周老师</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联系电话：0838-2873178</w:t>
            </w:r>
          </w:p>
          <w:p>
            <w:pPr>
              <w:pStyle w:val="29"/>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zh-CN"/>
              </w:rPr>
              <w:t>注：1、根据《中华人民共和国政府采购法》的规定，供应商质疑不得超出采购文件、采购过程、采购结果的范围。</w:t>
            </w:r>
          </w:p>
          <w:p>
            <w:pPr>
              <w:pStyle w:val="29"/>
              <w:keepNext w:val="0"/>
              <w:keepLines w:val="0"/>
              <w:pageBreakBefore w:val="0"/>
              <w:widowControl w:val="0"/>
              <w:numPr>
                <w:ilvl w:val="0"/>
                <w:numId w:val="0"/>
              </w:numPr>
              <w:kinsoku/>
              <w:wordWrap/>
              <w:overflowPunct/>
              <w:topLinePunct w:val="0"/>
              <w:bidi w:val="0"/>
              <w:snapToGrid/>
              <w:spacing w:line="400" w:lineRule="exact"/>
              <w:ind w:firstLine="482" w:firstLineChars="200"/>
              <w:jc w:val="both"/>
              <w:textAlignment w:val="auto"/>
              <w:rPr>
                <w:rFonts w:hint="eastAsia"/>
                <w:b/>
                <w:highlight w:val="none"/>
                <w:lang w:val="zh-CN"/>
              </w:rPr>
            </w:pPr>
            <w:r>
              <w:rPr>
                <w:rFonts w:hint="eastAsia"/>
                <w:b/>
                <w:highlight w:val="none"/>
                <w:lang w:val="en-US" w:eastAsia="zh-CN"/>
              </w:rPr>
              <w:t>2、</w:t>
            </w:r>
            <w:r>
              <w:rPr>
                <w:rFonts w:hint="eastAsia"/>
                <w:b/>
                <w:highlight w:val="none"/>
                <w:lang w:val="zh-CN"/>
              </w:rPr>
              <w:t>不在法定质疑期内提出的质疑书会被拒收。不符合要求的质疑书在法定质疑期内及时补充完善，否则作质疑不成立处理。</w:t>
            </w:r>
          </w:p>
          <w:p>
            <w:pPr>
              <w:keepNext w:val="0"/>
              <w:keepLines w:val="0"/>
              <w:pageBreakBefore w:val="0"/>
              <w:widowControl w:val="0"/>
              <w:kinsoku/>
              <w:wordWrap/>
              <w:overflowPunct/>
              <w:topLinePunct w:val="0"/>
              <w:bidi w:val="0"/>
              <w:spacing w:line="594" w:lineRule="exact"/>
              <w:ind w:left="105" w:leftChars="50" w:right="105" w:rightChars="50" w:firstLine="241" w:firstLineChars="100"/>
              <w:rPr>
                <w:rFonts w:hint="default" w:ascii="仿宋_GB2312" w:hAnsi="宋体" w:eastAsia="仿宋_GB2312"/>
                <w:b/>
                <w:sz w:val="32"/>
                <w:szCs w:val="32"/>
                <w:highlight w:val="none"/>
                <w:lang w:val="en-US" w:eastAsia="zh-CN"/>
              </w:rPr>
            </w:pPr>
            <w:r>
              <w:rPr>
                <w:rFonts w:hint="eastAsia" w:ascii="宋体" w:hAnsi="宋体" w:eastAsia="宋体" w:cs="宋体"/>
                <w:b/>
                <w:kern w:val="0"/>
                <w:sz w:val="24"/>
                <w:szCs w:val="24"/>
                <w:highlight w:val="none"/>
                <w:lang w:val="en-US" w:eastAsia="zh-CN" w:bidi="ar-SA"/>
              </w:rPr>
              <w:t>3、</w:t>
            </w:r>
            <w:r>
              <w:rPr>
                <w:rFonts w:hint="eastAsia" w:ascii="宋体" w:hAnsi="宋体" w:eastAsia="宋体" w:cs="宋体"/>
                <w:b/>
                <w:kern w:val="0"/>
                <w:sz w:val="24"/>
                <w:szCs w:val="24"/>
                <w:highlight w:val="none"/>
                <w:lang w:val="zh-CN" w:eastAsia="zh-CN" w:bidi="ar-SA"/>
              </w:rPr>
              <w:t>质疑应当以书面形式提出，供应商在法定质疑期内一次性提出针对同一采购程序环节的质疑。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8</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eastAsia" w:ascii="仿宋_GB2312" w:eastAsia="仿宋_GB2312"/>
                <w:sz w:val="32"/>
                <w:szCs w:val="32"/>
                <w:highlight w:val="none"/>
                <w:lang w:val="en-US" w:eastAsia="zh-CN"/>
              </w:rPr>
            </w:pPr>
            <w:r>
              <w:rPr>
                <w:rFonts w:hint="eastAsia" w:ascii="仿宋" w:hAnsi="仿宋" w:eastAsia="仿宋"/>
                <w:sz w:val="32"/>
                <w:szCs w:val="32"/>
                <w:highlight w:val="none"/>
                <w:lang w:val="zh-CN" w:eastAsia="zh-CN"/>
              </w:rPr>
              <w:t>特别提醒</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eastAsia="zh-CN"/>
              </w:rPr>
              <w:t>供应商必须按照谈判文件据实填写，不得虚假应答，凡经查实，将取消成交资格，列入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 w:hAnsi="仿宋" w:eastAsia="仿宋"/>
                <w:sz w:val="32"/>
                <w:szCs w:val="32"/>
                <w:highlight w:val="none"/>
                <w:lang w:val="en-US" w:eastAsia="zh-CN"/>
              </w:rPr>
              <w:t>2.供应商不得有围标、串标、恶意中标等不良行为，凡经查实，</w:t>
            </w:r>
            <w:r>
              <w:rPr>
                <w:rFonts w:hint="eastAsia" w:ascii="仿宋" w:hAnsi="仿宋" w:eastAsia="仿宋"/>
                <w:sz w:val="32"/>
                <w:szCs w:val="32"/>
                <w:highlight w:val="none"/>
                <w:lang w:val="zh-CN" w:eastAsia="zh-CN"/>
              </w:rPr>
              <w:t>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tc>
      </w:tr>
    </w:tbl>
    <w:p>
      <w:pPr>
        <w:pStyle w:val="3"/>
        <w:bidi w:val="0"/>
        <w:jc w:val="both"/>
        <w:rPr>
          <w:rFonts w:hint="eastAsia"/>
          <w:highlight w:val="none"/>
        </w:rPr>
      </w:pPr>
      <w:bookmarkStart w:id="3" w:name="_Toc28148"/>
    </w:p>
    <w:p>
      <w:pPr>
        <w:pStyle w:val="3"/>
        <w:bidi w:val="0"/>
        <w:jc w:val="both"/>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rFonts w:hint="default"/>
          <w:b/>
          <w:bCs/>
          <w:sz w:val="36"/>
          <w:szCs w:val="36"/>
          <w:highlight w:val="none"/>
          <w:lang w:val="en-US" w:eastAsia="zh-CN"/>
        </w:rPr>
      </w:pPr>
      <w:r>
        <w:rPr>
          <w:rFonts w:hint="eastAsia"/>
          <w:b/>
          <w:bCs/>
          <w:sz w:val="36"/>
          <w:szCs w:val="36"/>
          <w:highlight w:val="none"/>
        </w:rPr>
        <w:t>第三章  采购项目</w:t>
      </w:r>
      <w:r>
        <w:rPr>
          <w:rFonts w:hint="eastAsia"/>
          <w:b/>
          <w:bCs/>
          <w:sz w:val="36"/>
          <w:szCs w:val="36"/>
          <w:highlight w:val="none"/>
          <w:lang w:val="en-US" w:eastAsia="zh-CN"/>
        </w:rPr>
        <w:t>技术</w:t>
      </w:r>
      <w:r>
        <w:rPr>
          <w:rFonts w:hint="eastAsia"/>
          <w:b/>
          <w:bCs/>
          <w:sz w:val="36"/>
          <w:szCs w:val="36"/>
          <w:highlight w:val="none"/>
        </w:rPr>
        <w:t>、商务</w:t>
      </w:r>
      <w:r>
        <w:rPr>
          <w:rFonts w:hint="eastAsia"/>
          <w:b/>
          <w:bCs/>
          <w:sz w:val="36"/>
          <w:szCs w:val="36"/>
          <w:highlight w:val="none"/>
          <w:lang w:val="en-US" w:eastAsia="zh-CN"/>
        </w:rPr>
        <w:t>及</w:t>
      </w:r>
      <w:r>
        <w:rPr>
          <w:rFonts w:hint="eastAsia"/>
          <w:b/>
          <w:bCs/>
          <w:sz w:val="36"/>
          <w:szCs w:val="36"/>
          <w:highlight w:val="none"/>
        </w:rPr>
        <w:t>其他要求</w:t>
      </w:r>
      <w:bookmarkEnd w:id="3"/>
      <w:bookmarkStart w:id="4" w:name="_Toc217446095"/>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textAlignment w:val="auto"/>
        <w:rPr>
          <w:rFonts w:hint="eastAsia" w:ascii="仿宋_GB2312" w:eastAsia="仿宋_GB2312" w:cstheme="minorBidi"/>
          <w:b/>
          <w:bCs/>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textAlignment w:val="auto"/>
        <w:rPr>
          <w:rFonts w:hint="default"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一、项目概述</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hAnsiTheme="minorHAnsi" w:cstheme="minorBidi"/>
          <w:b w:val="0"/>
          <w:bCs/>
          <w:kern w:val="2"/>
          <w:sz w:val="32"/>
          <w:szCs w:val="32"/>
          <w:highlight w:val="none"/>
          <w:lang w:val="en-US" w:eastAsia="zh-CN" w:bidi="ar-SA"/>
        </w:rPr>
      </w:pPr>
      <w:r>
        <w:rPr>
          <w:rFonts w:hint="eastAsia" w:ascii="仿宋_GB2312" w:eastAsia="仿宋_GB2312" w:hAnsiTheme="minorHAnsi" w:cstheme="minorBidi"/>
          <w:b w:val="0"/>
          <w:bCs/>
          <w:kern w:val="2"/>
          <w:sz w:val="32"/>
          <w:szCs w:val="32"/>
          <w:highlight w:val="none"/>
          <w:lang w:val="en-US" w:eastAsia="zh-CN" w:bidi="ar-SA"/>
        </w:rPr>
        <w:t>德阳市精神卫生中心拟采购转运型救护车一辆。</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3" w:firstLineChars="200"/>
        <w:textAlignment w:val="auto"/>
        <w:rPr>
          <w:rFonts w:hint="eastAsia"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技术要求</w:t>
      </w:r>
    </w:p>
    <w:tbl>
      <w:tblPr>
        <w:tblStyle w:val="19"/>
        <w:tblW w:w="4797" w:type="pct"/>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4113"/>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ascii="宋体" w:hAnsi="宋体"/>
                <w:color w:val="auto"/>
                <w:sz w:val="24"/>
                <w:szCs w:val="24"/>
              </w:rPr>
              <w:t>1</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外形尺寸（mm）</w:t>
            </w:r>
          </w:p>
        </w:tc>
        <w:tc>
          <w:tcPr>
            <w:tcW w:w="2383" w:type="pct"/>
            <w:noWrap w:val="0"/>
            <w:vAlign w:val="center"/>
          </w:tcPr>
          <w:p>
            <w:pPr>
              <w:spacing w:line="360" w:lineRule="auto"/>
              <w:rPr>
                <w:rFonts w:ascii="宋体" w:hAnsi="宋体"/>
                <w:color w:val="auto"/>
                <w:sz w:val="24"/>
                <w:szCs w:val="24"/>
              </w:rPr>
            </w:pPr>
            <w:r>
              <w:rPr>
                <w:rFonts w:ascii="宋体" w:hAnsi="宋体"/>
                <w:color w:val="auto"/>
                <w:sz w:val="24"/>
                <w:szCs w:val="24"/>
              </w:rPr>
              <w:t>5300≤长≤5350；1950≤宽≤2000；2</w:t>
            </w:r>
            <w:r>
              <w:rPr>
                <w:rFonts w:hint="eastAsia" w:ascii="宋体" w:hAnsi="宋体"/>
                <w:color w:val="auto"/>
                <w:sz w:val="24"/>
                <w:szCs w:val="24"/>
              </w:rPr>
              <w:t>35</w:t>
            </w:r>
            <w:r>
              <w:rPr>
                <w:rFonts w:ascii="宋体" w:hAnsi="宋体"/>
                <w:color w:val="auto"/>
                <w:sz w:val="24"/>
                <w:szCs w:val="24"/>
              </w:rPr>
              <w:t>0≤高≤2</w:t>
            </w:r>
            <w:r>
              <w:rPr>
                <w:rFonts w:hint="eastAsia" w:ascii="宋体" w:hAnsi="宋体"/>
                <w:color w:val="auto"/>
                <w:sz w:val="24"/>
                <w:szCs w:val="24"/>
              </w:rPr>
              <w:t>40</w:t>
            </w:r>
            <w:r>
              <w:rPr>
                <w:rFonts w:ascii="宋体" w:hAns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2</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医疗舱尺寸（mm）</w:t>
            </w:r>
          </w:p>
        </w:tc>
        <w:tc>
          <w:tcPr>
            <w:tcW w:w="2383" w:type="pct"/>
            <w:noWrap w:val="0"/>
            <w:vAlign w:val="center"/>
          </w:tcPr>
          <w:p>
            <w:pPr>
              <w:spacing w:line="360" w:lineRule="auto"/>
              <w:rPr>
                <w:rFonts w:ascii="宋体" w:hAnsi="宋体"/>
                <w:color w:val="auto"/>
                <w:sz w:val="24"/>
                <w:szCs w:val="24"/>
              </w:rPr>
            </w:pPr>
            <w:r>
              <w:rPr>
                <w:rFonts w:ascii="宋体" w:hAnsi="宋体"/>
                <w:color w:val="auto"/>
                <w:sz w:val="24"/>
                <w:szCs w:val="24"/>
              </w:rPr>
              <w:t>2600≤长≤2650；1</w:t>
            </w:r>
            <w:r>
              <w:rPr>
                <w:rFonts w:hint="eastAsia" w:ascii="宋体" w:hAnsi="宋体"/>
                <w:color w:val="auto"/>
                <w:sz w:val="24"/>
                <w:szCs w:val="24"/>
              </w:rPr>
              <w:t>65</w:t>
            </w:r>
            <w:r>
              <w:rPr>
                <w:rFonts w:ascii="宋体" w:hAnsi="宋体"/>
                <w:color w:val="auto"/>
                <w:sz w:val="24"/>
                <w:szCs w:val="24"/>
              </w:rPr>
              <w:t>0≤宽≤17</w:t>
            </w:r>
            <w:r>
              <w:rPr>
                <w:rFonts w:hint="eastAsia" w:ascii="宋体" w:hAnsi="宋体"/>
                <w:color w:val="auto"/>
                <w:sz w:val="24"/>
                <w:szCs w:val="24"/>
              </w:rPr>
              <w:t>0</w:t>
            </w:r>
            <w:r>
              <w:rPr>
                <w:rFonts w:ascii="宋体" w:hAnsi="宋体"/>
                <w:color w:val="auto"/>
                <w:sz w:val="24"/>
                <w:szCs w:val="24"/>
              </w:rPr>
              <w:t>0；17</w:t>
            </w:r>
            <w:r>
              <w:rPr>
                <w:rFonts w:hint="eastAsia" w:ascii="宋体" w:hAnsi="宋体"/>
                <w:color w:val="auto"/>
                <w:sz w:val="24"/>
                <w:szCs w:val="24"/>
              </w:rPr>
              <w:t>5</w:t>
            </w:r>
            <w:r>
              <w:rPr>
                <w:rFonts w:ascii="宋体" w:hAnsi="宋体"/>
                <w:color w:val="auto"/>
                <w:sz w:val="24"/>
                <w:szCs w:val="24"/>
              </w:rPr>
              <w:t>0≤高≤1</w:t>
            </w:r>
            <w:r>
              <w:rPr>
                <w:rFonts w:hint="eastAsia" w:ascii="宋体" w:hAnsi="宋体"/>
                <w:color w:val="auto"/>
                <w:sz w:val="24"/>
                <w:szCs w:val="24"/>
              </w:rPr>
              <w:t>80</w:t>
            </w:r>
            <w:r>
              <w:rPr>
                <w:rFonts w:ascii="宋体" w:hAns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3</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最大总质量（kg）</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≥33</w:t>
            </w:r>
            <w:r>
              <w:rPr>
                <w:rFonts w:ascii="宋体" w:hAnsi="宋体"/>
                <w:color w:val="auto"/>
                <w:sz w:val="24"/>
                <w:szCs w:val="24"/>
              </w:rPr>
              <w:t>0</w:t>
            </w:r>
            <w:r>
              <w:rPr>
                <w:rFonts w:hint="eastAsia" w:ascii="宋体" w:hAns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4</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整备质量（kg）</w:t>
            </w:r>
          </w:p>
        </w:tc>
        <w:tc>
          <w:tcPr>
            <w:tcW w:w="2383" w:type="pct"/>
            <w:noWrap w:val="0"/>
            <w:vAlign w:val="center"/>
          </w:tcPr>
          <w:p>
            <w:pPr>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22</w:t>
            </w:r>
            <w:r>
              <w:rPr>
                <w:rFonts w:hint="eastAsia" w:ascii="宋体" w:hAnsi="宋体"/>
                <w:color w:val="auto"/>
                <w:sz w:val="24"/>
                <w:szCs w:val="24"/>
                <w:lang w:val="en-US" w:eastAsia="zh-CN"/>
              </w:rPr>
              <w:t>2</w:t>
            </w:r>
            <w:r>
              <w:rPr>
                <w:rFonts w:hint="eastAsia" w:ascii="宋体" w:hAns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5</w:t>
            </w:r>
          </w:p>
        </w:tc>
        <w:tc>
          <w:tcPr>
            <w:tcW w:w="2308" w:type="pct"/>
            <w:noWrap w:val="0"/>
            <w:vAlign w:val="center"/>
          </w:tcPr>
          <w:p>
            <w:pPr>
              <w:rPr>
                <w:rFonts w:ascii="宋体" w:hAnsi="宋体"/>
                <w:color w:val="auto"/>
                <w:sz w:val="24"/>
                <w:szCs w:val="24"/>
              </w:rPr>
            </w:pPr>
            <w:r>
              <w:rPr>
                <w:rFonts w:hint="eastAsia" w:ascii="宋体" w:hAnsi="宋体"/>
                <w:color w:val="auto"/>
                <w:sz w:val="24"/>
                <w:szCs w:val="24"/>
                <w:lang w:eastAsia="zh-CN"/>
              </w:rPr>
              <w:t>乘</w:t>
            </w:r>
            <w:r>
              <w:rPr>
                <w:rFonts w:hint="eastAsia" w:ascii="宋体" w:hAnsi="宋体"/>
                <w:color w:val="auto"/>
                <w:sz w:val="24"/>
                <w:szCs w:val="24"/>
              </w:rPr>
              <w:t>员人数</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6</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轴距（mm）</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7</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接近/离去角</w:t>
            </w:r>
            <w:r>
              <w:rPr>
                <w:rFonts w:ascii="宋体" w:hAnsi="宋体"/>
                <w:color w:val="auto"/>
                <w:sz w:val="24"/>
                <w:szCs w:val="24"/>
              </w:rPr>
              <w:t>(°)</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8</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最高车车速（km</w:t>
            </w:r>
            <w:r>
              <w:rPr>
                <w:rFonts w:ascii="宋体" w:hAnsi="宋体"/>
                <w:color w:val="auto"/>
                <w:sz w:val="24"/>
                <w:szCs w:val="24"/>
              </w:rPr>
              <w:t>/h</w:t>
            </w:r>
            <w:r>
              <w:rPr>
                <w:rFonts w:hint="eastAsia" w:ascii="宋体" w:hAnsi="宋体"/>
                <w:color w:val="auto"/>
                <w:sz w:val="24"/>
                <w:szCs w:val="24"/>
              </w:rPr>
              <w:t>）</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≥17</w:t>
            </w:r>
            <w:r>
              <w:rPr>
                <w:rFonts w:ascii="宋体" w:hAns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9</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发动机排量（ml）</w:t>
            </w:r>
          </w:p>
        </w:tc>
        <w:tc>
          <w:tcPr>
            <w:tcW w:w="2383" w:type="pct"/>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rPr>
              <w:t>≥</w:t>
            </w:r>
            <w:r>
              <w:rPr>
                <w:rFonts w:ascii="宋体" w:hAnsi="宋体"/>
                <w:color w:val="auto"/>
                <w:sz w:val="24"/>
                <w:szCs w:val="24"/>
              </w:rPr>
              <w:t>199</w:t>
            </w:r>
            <w:r>
              <w:rPr>
                <w:rFonts w:hint="eastAsia" w:ascii="宋体" w:hAnsi="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0</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额定功率（kw）</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驱动形式</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2</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车身结构</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承载式车身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燃油种类</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排放标准</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 w:type="pct"/>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2308" w:type="pct"/>
            <w:noWrap w:val="0"/>
            <w:vAlign w:val="center"/>
          </w:tcPr>
          <w:p>
            <w:pPr>
              <w:rPr>
                <w:rFonts w:ascii="宋体" w:hAnsi="宋体"/>
                <w:color w:val="auto"/>
                <w:sz w:val="24"/>
                <w:szCs w:val="24"/>
              </w:rPr>
            </w:pPr>
            <w:r>
              <w:rPr>
                <w:rFonts w:hint="eastAsia" w:ascii="宋体" w:hAnsi="宋体"/>
                <w:color w:val="auto"/>
                <w:sz w:val="24"/>
                <w:szCs w:val="24"/>
              </w:rPr>
              <w:t>变速器</w:t>
            </w:r>
          </w:p>
        </w:tc>
        <w:tc>
          <w:tcPr>
            <w:tcW w:w="2383" w:type="pct"/>
            <w:noWrap w:val="0"/>
            <w:vAlign w:val="center"/>
          </w:tcPr>
          <w:p>
            <w:pPr>
              <w:rPr>
                <w:rFonts w:ascii="宋体" w:hAnsi="宋体"/>
                <w:color w:val="auto"/>
                <w:sz w:val="24"/>
                <w:szCs w:val="24"/>
              </w:rPr>
            </w:pPr>
            <w:r>
              <w:rPr>
                <w:rFonts w:hint="eastAsia" w:ascii="宋体" w:hAnsi="宋体"/>
                <w:color w:val="auto"/>
                <w:sz w:val="24"/>
                <w:szCs w:val="24"/>
              </w:rPr>
              <w:t>自动挡</w:t>
            </w: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3" w:firstLineChars="200"/>
        <w:textAlignment w:val="auto"/>
        <w:rPr>
          <w:rFonts w:hint="default"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配置要求</w:t>
      </w:r>
    </w:p>
    <w:tbl>
      <w:tblPr>
        <w:tblStyle w:val="18"/>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6"/>
        <w:gridCol w:w="1871"/>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1</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车辆外观</w:t>
            </w:r>
          </w:p>
        </w:tc>
        <w:tc>
          <w:tcPr>
            <w:tcW w:w="3664"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rPr>
              <w:t>全车身白色，车头、</w:t>
            </w:r>
            <w:r>
              <w:rPr>
                <w:rFonts w:ascii="宋体" w:hAnsi="宋体" w:cs="微软雅黑"/>
                <w:bCs/>
                <w:color w:val="auto"/>
                <w:sz w:val="24"/>
                <w:szCs w:val="24"/>
              </w:rPr>
              <w:t>车身两侧以及车</w:t>
            </w:r>
            <w:r>
              <w:rPr>
                <w:rFonts w:hint="eastAsia" w:ascii="宋体" w:hAnsi="宋体" w:cs="微软雅黑"/>
                <w:bCs/>
                <w:color w:val="auto"/>
                <w:sz w:val="24"/>
                <w:szCs w:val="24"/>
              </w:rPr>
              <w:t>尾门贴红十字徽标</w:t>
            </w:r>
            <w:r>
              <w:rPr>
                <w:rFonts w:hint="eastAsia" w:ascii="宋体" w:hAnsi="宋体" w:cs="微软雅黑"/>
                <w:bCs/>
                <w:color w:val="auto"/>
                <w:sz w:val="24"/>
                <w:szCs w:val="24"/>
                <w:lang w:eastAsia="zh-CN"/>
              </w:rPr>
              <w:t>，</w:t>
            </w:r>
            <w:r>
              <w:rPr>
                <w:rFonts w:hint="eastAsia" w:ascii="宋体" w:hAnsi="宋体" w:cs="微软雅黑"/>
                <w:bCs/>
                <w:color w:val="auto"/>
                <w:sz w:val="24"/>
                <w:szCs w:val="24"/>
                <w:lang w:val="en-US" w:eastAsia="zh-CN"/>
              </w:rPr>
              <w:t>右侧中门安装推拉窗。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2</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蓝色</w:t>
            </w:r>
            <w:r>
              <w:rPr>
                <w:rFonts w:ascii="宋体" w:hAnsi="宋体" w:cs="微软雅黑"/>
                <w:bCs/>
                <w:color w:val="auto"/>
                <w:sz w:val="24"/>
                <w:szCs w:val="24"/>
              </w:rPr>
              <w:t>LED长排警灯</w:t>
            </w:r>
          </w:p>
        </w:tc>
        <w:tc>
          <w:tcPr>
            <w:tcW w:w="3664" w:type="pct"/>
            <w:noWrap w:val="0"/>
            <w:tcMar>
              <w:top w:w="10" w:type="dxa"/>
              <w:left w:w="10" w:type="dxa"/>
              <w:bottom w:w="0" w:type="dxa"/>
              <w:right w:w="10" w:type="dxa"/>
            </w:tcMar>
            <w:vAlign w:val="center"/>
          </w:tcPr>
          <w:p>
            <w:pPr>
              <w:spacing w:line="440" w:lineRule="exact"/>
              <w:rPr>
                <w:rFonts w:ascii="宋体" w:hAnsi="宋体" w:cs="微软雅黑"/>
                <w:bCs/>
                <w:color w:val="auto"/>
                <w:sz w:val="24"/>
                <w:szCs w:val="24"/>
              </w:rPr>
            </w:pPr>
            <w:r>
              <w:rPr>
                <w:rFonts w:ascii="宋体" w:hAnsi="宋体" w:cs="微软雅黑"/>
                <w:bCs/>
                <w:color w:val="auto"/>
                <w:sz w:val="24"/>
                <w:szCs w:val="24"/>
              </w:rPr>
              <w:t>内置功率</w:t>
            </w:r>
            <w:r>
              <w:rPr>
                <w:rFonts w:hint="eastAsia" w:ascii="宋体" w:hAnsi="宋体" w:cs="微软雅黑"/>
                <w:bCs/>
                <w:color w:val="auto"/>
                <w:sz w:val="24"/>
                <w:szCs w:val="24"/>
              </w:rPr>
              <w:t>≥</w:t>
            </w:r>
            <w:r>
              <w:rPr>
                <w:rFonts w:ascii="宋体" w:hAnsi="宋体" w:cs="微软雅黑"/>
                <w:bCs/>
                <w:color w:val="auto"/>
                <w:sz w:val="24"/>
                <w:szCs w:val="24"/>
              </w:rPr>
              <w:t>100W喇叭，</w:t>
            </w:r>
            <w:r>
              <w:rPr>
                <w:rFonts w:hint="eastAsia" w:ascii="宋体" w:hAnsi="宋体" w:cs="微软雅黑"/>
                <w:bCs/>
                <w:color w:val="auto"/>
                <w:sz w:val="24"/>
                <w:szCs w:val="24"/>
                <w:lang w:val="en-US" w:eastAsia="zh-CN"/>
              </w:rPr>
              <w:t>具有</w:t>
            </w:r>
            <w:r>
              <w:rPr>
                <w:rFonts w:ascii="宋体" w:hAnsi="宋体" w:cs="微软雅黑"/>
                <w:bCs/>
                <w:color w:val="auto"/>
                <w:sz w:val="24"/>
                <w:szCs w:val="24"/>
              </w:rPr>
              <w:t>警示</w:t>
            </w:r>
            <w:r>
              <w:rPr>
                <w:rFonts w:hint="eastAsia" w:ascii="宋体" w:hAnsi="宋体" w:cs="微软雅黑"/>
                <w:bCs/>
                <w:color w:val="auto"/>
                <w:sz w:val="24"/>
                <w:szCs w:val="24"/>
                <w:lang w:val="en-US" w:eastAsia="zh-CN"/>
              </w:rPr>
              <w:t>功能</w:t>
            </w:r>
            <w:r>
              <w:rPr>
                <w:rFonts w:ascii="宋体" w:hAnsi="宋体" w:cs="微软雅黑"/>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3</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警灯凸台</w:t>
            </w:r>
          </w:p>
        </w:tc>
        <w:tc>
          <w:tcPr>
            <w:tcW w:w="3664" w:type="pct"/>
            <w:noWrap w:val="0"/>
            <w:tcMar>
              <w:top w:w="10" w:type="dxa"/>
              <w:left w:w="10" w:type="dxa"/>
              <w:bottom w:w="0" w:type="dxa"/>
              <w:right w:w="10" w:type="dxa"/>
            </w:tcMar>
            <w:vAlign w:val="center"/>
          </w:tcPr>
          <w:p>
            <w:pPr>
              <w:spacing w:line="440" w:lineRule="exact"/>
              <w:rPr>
                <w:rFonts w:ascii="宋体" w:hAnsi="宋体" w:cs="微软雅黑"/>
                <w:bCs/>
                <w:color w:val="auto"/>
                <w:sz w:val="24"/>
                <w:szCs w:val="24"/>
              </w:rPr>
            </w:pPr>
            <w:r>
              <w:rPr>
                <w:rFonts w:hint="eastAsia" w:ascii="宋体" w:hAnsi="宋体" w:cs="微软雅黑"/>
                <w:bCs/>
                <w:color w:val="auto"/>
                <w:kern w:val="0"/>
                <w:sz w:val="24"/>
                <w:szCs w:val="24"/>
              </w:rPr>
              <w:t>采用冲压成型工艺，阴极电泳处理，耐腐蚀。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4</w:t>
            </w:r>
          </w:p>
        </w:tc>
        <w:tc>
          <w:tcPr>
            <w:tcW w:w="1021" w:type="pct"/>
            <w:noWrap w:val="0"/>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担架</w:t>
            </w:r>
          </w:p>
        </w:tc>
        <w:tc>
          <w:tcPr>
            <w:tcW w:w="3664" w:type="pct"/>
            <w:noWrap w:val="0"/>
            <w:vAlign w:val="center"/>
          </w:tcPr>
          <w:p>
            <w:pPr>
              <w:spacing w:line="440" w:lineRule="exact"/>
              <w:rPr>
                <w:rFonts w:hint="eastAsia" w:ascii="宋体" w:hAnsi="宋体" w:eastAsia="宋体" w:cs="微软雅黑"/>
                <w:bCs/>
                <w:color w:val="auto"/>
                <w:sz w:val="24"/>
                <w:szCs w:val="24"/>
                <w:lang w:eastAsia="zh-CN"/>
              </w:rPr>
            </w:pPr>
            <w:r>
              <w:rPr>
                <w:rFonts w:hint="default" w:ascii="Calibri" w:hAnsi="Calibri" w:eastAsia="宋体" w:cs="Calibri"/>
                <w:bCs/>
                <w:color w:val="auto"/>
                <w:sz w:val="24"/>
                <w:szCs w:val="24"/>
              </w:rPr>
              <w:t>①</w:t>
            </w:r>
            <w:r>
              <w:rPr>
                <w:rFonts w:hint="eastAsia" w:ascii="宋体" w:hAnsi="宋体" w:eastAsia="宋体" w:cs="微软雅黑"/>
                <w:bCs/>
                <w:color w:val="auto"/>
                <w:sz w:val="24"/>
                <w:szCs w:val="24"/>
              </w:rPr>
              <w:t>铲式担架：担架两端中部设铰链式离合装置，可使担架分离成左右两部分，担架长度可4档调节，并可以折叠便于运输和携带</w:t>
            </w:r>
            <w:r>
              <w:rPr>
                <w:rFonts w:hint="eastAsia" w:ascii="宋体" w:hAnsi="宋体" w:eastAsia="宋体" w:cs="微软雅黑"/>
                <w:bCs/>
                <w:color w:val="auto"/>
                <w:sz w:val="24"/>
                <w:szCs w:val="24"/>
                <w:lang w:eastAsia="zh-CN"/>
              </w:rPr>
              <w:t>。</w:t>
            </w:r>
          </w:p>
          <w:p>
            <w:pPr>
              <w:pStyle w:val="2"/>
              <w:ind w:left="0" w:leftChars="0" w:firstLine="0" w:firstLineChars="0"/>
              <w:rPr>
                <w:rFonts w:hint="default"/>
                <w:lang w:val="en-US"/>
              </w:rPr>
            </w:pPr>
            <w:r>
              <w:rPr>
                <w:rFonts w:hint="default" w:ascii="Calibri" w:hAnsi="Calibri" w:cs="Calibri"/>
                <w:bCs/>
                <w:color w:val="auto"/>
                <w:sz w:val="24"/>
                <w:szCs w:val="24"/>
                <w:lang w:val="en-US" w:eastAsia="zh-CN"/>
              </w:rPr>
              <w:t>②</w:t>
            </w:r>
            <w:r>
              <w:rPr>
                <w:rFonts w:hint="eastAsia" w:ascii="宋体" w:hAnsi="宋体" w:cs="微软雅黑"/>
                <w:bCs/>
                <w:color w:val="auto"/>
                <w:sz w:val="24"/>
                <w:szCs w:val="24"/>
                <w:lang w:val="en-US" w:eastAsia="zh-CN"/>
              </w:rPr>
              <w:t>自动上车担架（无担架平台）。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5</w:t>
            </w:r>
          </w:p>
        </w:tc>
        <w:tc>
          <w:tcPr>
            <w:tcW w:w="1021" w:type="pct"/>
            <w:noWrap w:val="0"/>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ascii="宋体" w:hAnsi="宋体" w:cs="微软雅黑"/>
                <w:bCs/>
                <w:color w:val="auto"/>
                <w:sz w:val="24"/>
                <w:szCs w:val="24"/>
              </w:rPr>
              <w:t>输液夹持器</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医疗舱顶部安装</w:t>
            </w:r>
            <w:r>
              <w:rPr>
                <w:rFonts w:ascii="宋体" w:hAnsi="宋体" w:cs="微软雅黑"/>
                <w:bCs/>
                <w:color w:val="auto"/>
                <w:sz w:val="24"/>
                <w:szCs w:val="24"/>
              </w:rPr>
              <w:t>输液夹持器，单只</w:t>
            </w:r>
            <w:r>
              <w:rPr>
                <w:rFonts w:hint="eastAsia" w:ascii="宋体" w:hAnsi="宋体" w:cs="微软雅黑"/>
                <w:bCs/>
                <w:color w:val="auto"/>
                <w:sz w:val="24"/>
                <w:szCs w:val="24"/>
              </w:rPr>
              <w:t>承重≥2.5kg。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6</w:t>
            </w:r>
          </w:p>
        </w:tc>
        <w:tc>
          <w:tcPr>
            <w:tcW w:w="1021" w:type="pct"/>
            <w:noWrap w:val="0"/>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氧气瓶</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strike/>
                <w:color w:val="auto"/>
                <w:sz w:val="24"/>
                <w:szCs w:val="24"/>
              </w:rPr>
            </w:pPr>
            <w:r>
              <w:rPr>
                <w:rFonts w:hint="eastAsia" w:ascii="宋体" w:hAnsi="宋体" w:cs="微软雅黑"/>
                <w:bCs/>
                <w:color w:val="auto"/>
                <w:sz w:val="24"/>
                <w:szCs w:val="24"/>
              </w:rPr>
              <w:t>救护舱配置≥10L钢质氧气瓶，公称压力≥15MPA。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7</w:t>
            </w:r>
          </w:p>
        </w:tc>
        <w:tc>
          <w:tcPr>
            <w:tcW w:w="1021" w:type="pct"/>
            <w:noWrap w:val="0"/>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氧气吸入器</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含单表气瓶减压阀及湿化瓶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bCs/>
                <w:color w:val="auto"/>
                <w:sz w:val="24"/>
                <w:szCs w:val="24"/>
              </w:rPr>
            </w:pPr>
            <w:r>
              <w:rPr>
                <w:rFonts w:hint="eastAsia" w:ascii="宋体" w:hAnsi="宋体"/>
                <w:bCs/>
                <w:color w:val="auto"/>
                <w:sz w:val="24"/>
                <w:szCs w:val="24"/>
              </w:rPr>
              <w:t>8</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bCs/>
                <w:color w:val="auto"/>
                <w:sz w:val="24"/>
                <w:szCs w:val="24"/>
              </w:rPr>
              <w:t>空调&amp;暖风</w:t>
            </w:r>
          </w:p>
        </w:tc>
        <w:tc>
          <w:tcPr>
            <w:tcW w:w="3664"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bCs/>
                <w:color w:val="auto"/>
                <w:sz w:val="24"/>
                <w:szCs w:val="24"/>
                <w:lang w:val="en-US" w:eastAsia="zh-CN"/>
              </w:rPr>
              <w:t>1套</w:t>
            </w:r>
            <w:r>
              <w:rPr>
                <w:rFonts w:hint="eastAsia" w:ascii="宋体" w:hAnsi="宋体"/>
                <w:bCs/>
                <w:color w:val="auto"/>
                <w:sz w:val="24"/>
                <w:szCs w:val="24"/>
              </w:rPr>
              <w:t>后空调和后暖风装置，冷暖独立控制。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ascii="宋体" w:hAnsi="宋体" w:cs="微软雅黑"/>
                <w:bCs/>
                <w:color w:val="auto"/>
                <w:sz w:val="24"/>
                <w:szCs w:val="24"/>
              </w:rPr>
            </w:pPr>
            <w:r>
              <w:rPr>
                <w:rFonts w:hint="eastAsia" w:ascii="宋体" w:hAnsi="宋体" w:cs="微软雅黑"/>
                <w:bCs/>
                <w:color w:val="auto"/>
                <w:sz w:val="24"/>
                <w:szCs w:val="24"/>
              </w:rPr>
              <w:t>9</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照明灯</w:t>
            </w:r>
          </w:p>
        </w:tc>
        <w:tc>
          <w:tcPr>
            <w:tcW w:w="3664"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w:t>
            </w:r>
            <w:r>
              <w:rPr>
                <w:rFonts w:ascii="宋体" w:hAnsi="宋体" w:cs="微软雅黑"/>
                <w:bCs/>
                <w:color w:val="auto"/>
                <w:sz w:val="24"/>
                <w:szCs w:val="24"/>
              </w:rPr>
              <w:t>12V舱内照明灯。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eastAsia" w:ascii="宋体" w:hAnsi="宋体" w:eastAsia="宋体" w:cs="微软雅黑"/>
                <w:bCs/>
                <w:color w:val="auto"/>
                <w:sz w:val="24"/>
                <w:szCs w:val="24"/>
                <w:lang w:val="en-US" w:eastAsia="zh-CN"/>
              </w:rPr>
            </w:pPr>
            <w:r>
              <w:rPr>
                <w:rFonts w:hint="eastAsia" w:ascii="宋体" w:hAnsi="宋体" w:eastAsia="宋体" w:cs="微软雅黑"/>
                <w:bCs/>
                <w:color w:val="auto"/>
                <w:sz w:val="24"/>
                <w:szCs w:val="24"/>
                <w:lang w:val="en-US" w:eastAsia="zh-CN"/>
              </w:rPr>
              <w:t>10</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hint="eastAsia" w:ascii="宋体" w:hAnsi="宋体" w:eastAsia="宋体" w:cs="微软雅黑"/>
                <w:bCs/>
                <w:color w:val="auto"/>
                <w:sz w:val="24"/>
                <w:szCs w:val="24"/>
                <w:lang w:val="en-US" w:eastAsia="zh-CN"/>
              </w:rPr>
            </w:pPr>
            <w:r>
              <w:rPr>
                <w:rFonts w:hint="eastAsia" w:ascii="宋体" w:hAnsi="宋体" w:eastAsia="宋体" w:cs="微软雅黑"/>
                <w:bCs/>
                <w:color w:val="auto"/>
                <w:sz w:val="24"/>
                <w:szCs w:val="24"/>
                <w:lang w:val="en-US" w:eastAsia="zh-CN"/>
              </w:rPr>
              <w:t>逆变器</w:t>
            </w:r>
          </w:p>
        </w:tc>
        <w:tc>
          <w:tcPr>
            <w:tcW w:w="3664"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hint="eastAsia" w:ascii="宋体" w:hAnsi="宋体" w:eastAsia="宋体" w:cs="微软雅黑"/>
                <w:bCs/>
                <w:color w:val="auto"/>
                <w:sz w:val="24"/>
                <w:szCs w:val="24"/>
                <w:lang w:val="en-US" w:eastAsia="zh-CN"/>
              </w:rPr>
            </w:pPr>
            <w:r>
              <w:rPr>
                <w:rFonts w:hint="eastAsia" w:ascii="宋体" w:hAnsi="宋体" w:eastAsia="宋体" w:cs="微软雅黑"/>
                <w:bCs/>
                <w:color w:val="auto"/>
                <w:sz w:val="24"/>
                <w:szCs w:val="24"/>
              </w:rPr>
              <w:t>≥</w:t>
            </w:r>
            <w:r>
              <w:rPr>
                <w:rFonts w:hint="eastAsia" w:ascii="宋体" w:hAnsi="宋体" w:cs="微软雅黑"/>
                <w:bCs/>
                <w:color w:val="auto"/>
                <w:sz w:val="24"/>
                <w:szCs w:val="24"/>
                <w:lang w:val="en-US" w:eastAsia="zh-CN"/>
              </w:rPr>
              <w:t>20</w:t>
            </w:r>
            <w:r>
              <w:rPr>
                <w:rFonts w:hint="eastAsia" w:ascii="宋体" w:hAnsi="宋体" w:eastAsia="宋体" w:cs="微软雅黑"/>
                <w:bCs/>
                <w:color w:val="auto"/>
                <w:sz w:val="24"/>
                <w:szCs w:val="24"/>
              </w:rPr>
              <w:t>00W纯正弦波逆变器，带载能力强，输出功率稳定。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11</w:t>
            </w:r>
          </w:p>
        </w:tc>
        <w:tc>
          <w:tcPr>
            <w:tcW w:w="1021"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紫外线消毒灯</w:t>
            </w:r>
          </w:p>
        </w:tc>
        <w:tc>
          <w:tcPr>
            <w:tcW w:w="3664" w:type="pct"/>
            <w:noWrap w:val="0"/>
            <w:tcMar>
              <w:top w:w="10" w:type="dxa"/>
              <w:left w:w="10" w:type="dxa"/>
              <w:bottom w:w="0" w:type="dxa"/>
              <w:right w:w="10" w:type="dxa"/>
            </w:tcMar>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在医疗舱顶部右侧安装紫外线消毒灯，消毒灯具备定时延时开启和关闭功能。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12</w:t>
            </w:r>
          </w:p>
        </w:tc>
        <w:tc>
          <w:tcPr>
            <w:tcW w:w="1021" w:type="pct"/>
            <w:noWrap w:val="0"/>
            <w:vAlign w:val="center"/>
          </w:tcPr>
          <w:p>
            <w:pPr>
              <w:tabs>
                <w:tab w:val="left" w:pos="1891"/>
                <w:tab w:val="left" w:pos="9394"/>
              </w:tabs>
              <w:autoSpaceDE w:val="0"/>
              <w:autoSpaceDN w:val="0"/>
              <w:adjustRightInd w:val="0"/>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中隔墙总成</w:t>
            </w:r>
          </w:p>
        </w:tc>
        <w:tc>
          <w:tcPr>
            <w:tcW w:w="3664"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驾驶室与医疗舱之间安装环保材料制作的中隔墙，中隔墙上设置一个推拉式玻璃观察窗。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13</w:t>
            </w:r>
          </w:p>
        </w:tc>
        <w:tc>
          <w:tcPr>
            <w:tcW w:w="1021"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橱柜总成</w:t>
            </w:r>
          </w:p>
        </w:tc>
        <w:tc>
          <w:tcPr>
            <w:tcW w:w="3664" w:type="pct"/>
            <w:noWrap w:val="0"/>
            <w:vAlign w:val="center"/>
          </w:tcPr>
          <w:p>
            <w:pPr>
              <w:spacing w:line="440" w:lineRule="exact"/>
              <w:rPr>
                <w:rFonts w:hint="eastAsia" w:ascii="宋体" w:hAnsi="宋体" w:eastAsia="宋体" w:cs="微软雅黑"/>
                <w:bCs/>
                <w:color w:val="auto"/>
                <w:sz w:val="24"/>
                <w:szCs w:val="24"/>
                <w:lang w:eastAsia="zh-CN"/>
              </w:rPr>
            </w:pPr>
            <w:r>
              <w:rPr>
                <w:rFonts w:hint="eastAsia" w:ascii="宋体" w:hAnsi="宋体" w:cs="微软雅黑"/>
                <w:bCs/>
                <w:color w:val="auto"/>
                <w:sz w:val="24"/>
                <w:szCs w:val="24"/>
              </w:rPr>
              <w:t>医疗舱配置热塑性树脂复合材料制作的医疗柜体，柜体上设置有抽屉、双开门柜</w:t>
            </w:r>
            <w:r>
              <w:rPr>
                <w:rFonts w:hint="eastAsia" w:ascii="宋体" w:hAnsi="宋体" w:cs="微软雅黑"/>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14</w:t>
            </w:r>
          </w:p>
        </w:tc>
        <w:tc>
          <w:tcPr>
            <w:tcW w:w="1021"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医用地板</w:t>
            </w:r>
          </w:p>
        </w:tc>
        <w:tc>
          <w:tcPr>
            <w:tcW w:w="3664"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地板应环保无毒，防水、耐磨、耐酸碱；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15</w:t>
            </w:r>
          </w:p>
        </w:tc>
        <w:tc>
          <w:tcPr>
            <w:tcW w:w="1021"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医疗舱内饰</w:t>
            </w:r>
          </w:p>
        </w:tc>
        <w:tc>
          <w:tcPr>
            <w:tcW w:w="3664" w:type="pct"/>
            <w:noWrap w:val="0"/>
            <w:vAlign w:val="center"/>
          </w:tcPr>
          <w:p>
            <w:pPr>
              <w:spacing w:line="440" w:lineRule="exact"/>
              <w:jc w:val="left"/>
              <w:rPr>
                <w:rFonts w:ascii="宋体" w:hAnsi="宋体" w:cs="微软雅黑"/>
                <w:bCs/>
                <w:color w:val="auto"/>
                <w:sz w:val="24"/>
                <w:szCs w:val="24"/>
              </w:rPr>
            </w:pPr>
            <w:r>
              <w:rPr>
                <w:rFonts w:hint="eastAsia" w:ascii="宋体" w:hAnsi="宋体" w:cs="微软雅黑"/>
                <w:bCs/>
                <w:color w:val="auto"/>
                <w:sz w:val="24"/>
                <w:szCs w:val="24"/>
              </w:rPr>
              <w:t>原车内饰，</w:t>
            </w:r>
            <w:r>
              <w:rPr>
                <w:rFonts w:hint="eastAsia" w:ascii="宋体" w:hAnsi="宋体" w:cs="@宋体"/>
                <w:bCs/>
                <w:color w:val="auto"/>
                <w:sz w:val="24"/>
                <w:szCs w:val="24"/>
              </w:rPr>
              <w:t>具有隔热、耐冲击特性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16</w:t>
            </w:r>
          </w:p>
        </w:tc>
        <w:tc>
          <w:tcPr>
            <w:tcW w:w="1021"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座椅</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医疗舱</w:t>
            </w:r>
            <w:r>
              <w:rPr>
                <w:rFonts w:hint="eastAsia" w:ascii="宋体" w:hAnsi="宋体" w:cs="微软雅黑"/>
                <w:bCs/>
                <w:color w:val="auto"/>
                <w:sz w:val="24"/>
                <w:szCs w:val="24"/>
                <w:lang w:val="en-US" w:eastAsia="zh-CN"/>
              </w:rPr>
              <w:t>座椅采用</w:t>
            </w:r>
            <w:r>
              <w:rPr>
                <w:rFonts w:hint="eastAsia" w:ascii="宋体" w:hAnsi="宋体" w:cs="微软雅黑"/>
                <w:bCs/>
                <w:color w:val="auto"/>
                <w:sz w:val="24"/>
                <w:szCs w:val="24"/>
              </w:rPr>
              <w:t>朝</w:t>
            </w:r>
            <w:r>
              <w:rPr>
                <w:rFonts w:ascii="宋体" w:hAnsi="宋体" w:cs="微软雅黑"/>
                <w:bCs/>
                <w:color w:val="auto"/>
                <w:sz w:val="24"/>
                <w:szCs w:val="24"/>
              </w:rPr>
              <w:t>前</w:t>
            </w:r>
            <w:r>
              <w:rPr>
                <w:rFonts w:hint="eastAsia" w:ascii="宋体" w:hAnsi="宋体" w:cs="微软雅黑"/>
                <w:bCs/>
                <w:color w:val="auto"/>
                <w:sz w:val="24"/>
                <w:szCs w:val="24"/>
              </w:rPr>
              <w:t>单人座椅，配</w:t>
            </w:r>
            <w:r>
              <w:rPr>
                <w:rFonts w:ascii="宋体" w:hAnsi="宋体" w:cs="微软雅黑"/>
                <w:bCs/>
                <w:color w:val="auto"/>
                <w:sz w:val="24"/>
                <w:szCs w:val="24"/>
              </w:rPr>
              <w:t>三点式安全带</w:t>
            </w:r>
            <w:r>
              <w:rPr>
                <w:rFonts w:hint="eastAsia" w:ascii="宋体" w:hAnsi="宋体" w:cs="微软雅黑"/>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cs="微软雅黑"/>
                <w:bCs/>
                <w:color w:val="auto"/>
                <w:sz w:val="24"/>
                <w:szCs w:val="24"/>
                <w:lang w:val="en-US" w:eastAsia="zh-CN"/>
              </w:rPr>
            </w:pPr>
            <w:r>
              <w:rPr>
                <w:rFonts w:hint="eastAsia" w:ascii="宋体" w:hAnsi="宋体" w:cs="微软雅黑"/>
                <w:bCs/>
                <w:color w:val="auto"/>
                <w:sz w:val="24"/>
                <w:szCs w:val="24"/>
                <w:lang w:val="en-US" w:eastAsia="zh-CN"/>
              </w:rPr>
              <w:t>17</w:t>
            </w:r>
          </w:p>
        </w:tc>
        <w:tc>
          <w:tcPr>
            <w:tcW w:w="1021" w:type="pct"/>
            <w:noWrap w:val="0"/>
            <w:vAlign w:val="center"/>
          </w:tcPr>
          <w:p>
            <w:pPr>
              <w:tabs>
                <w:tab w:val="left" w:pos="1891"/>
                <w:tab w:val="left" w:pos="9394"/>
              </w:tabs>
              <w:autoSpaceDE w:val="0"/>
              <w:autoSpaceDN w:val="0"/>
              <w:adjustRightInd w:val="0"/>
              <w:spacing w:line="440" w:lineRule="exact"/>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电动踏板</w:t>
            </w:r>
          </w:p>
        </w:tc>
        <w:tc>
          <w:tcPr>
            <w:tcW w:w="3664" w:type="pct"/>
            <w:noWrap w:val="0"/>
            <w:vAlign w:val="center"/>
          </w:tcPr>
          <w:p>
            <w:pPr>
              <w:tabs>
                <w:tab w:val="left" w:pos="1891"/>
                <w:tab w:val="left" w:pos="9394"/>
              </w:tabs>
              <w:autoSpaceDE w:val="0"/>
              <w:autoSpaceDN w:val="0"/>
              <w:adjustRightInd w:val="0"/>
              <w:spacing w:line="440" w:lineRule="exact"/>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右侧中门下方安装电动踏板，方便医护人员及病员上下车。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18</w:t>
            </w:r>
          </w:p>
        </w:tc>
        <w:tc>
          <w:tcPr>
            <w:tcW w:w="1021"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灭火器</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 xml:space="preserve">右侧最后一个座椅下配备≥1KG灭火器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19</w:t>
            </w:r>
          </w:p>
        </w:tc>
        <w:tc>
          <w:tcPr>
            <w:tcW w:w="1021"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紧急锤</w:t>
            </w:r>
          </w:p>
        </w:tc>
        <w:tc>
          <w:tcPr>
            <w:tcW w:w="3664" w:type="pct"/>
            <w:noWrap w:val="0"/>
            <w:vAlign w:val="center"/>
          </w:tcPr>
          <w:p>
            <w:pPr>
              <w:tabs>
                <w:tab w:val="left" w:pos="1891"/>
                <w:tab w:val="left" w:pos="9394"/>
              </w:tabs>
              <w:autoSpaceDE w:val="0"/>
              <w:autoSpaceDN w:val="0"/>
              <w:adjustRightInd w:val="0"/>
              <w:spacing w:line="440" w:lineRule="exact"/>
              <w:rPr>
                <w:rFonts w:ascii="宋体" w:hAnsi="宋体" w:cs="微软雅黑"/>
                <w:bCs/>
                <w:color w:val="auto"/>
                <w:sz w:val="24"/>
                <w:szCs w:val="24"/>
              </w:rPr>
            </w:pPr>
            <w:r>
              <w:rPr>
                <w:rFonts w:hint="eastAsia" w:ascii="宋体" w:hAnsi="宋体" w:cs="微软雅黑"/>
                <w:bCs/>
                <w:color w:val="auto"/>
                <w:sz w:val="24"/>
                <w:szCs w:val="24"/>
              </w:rPr>
              <w:t>车内配备紧急锤。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14" w:type="pct"/>
            <w:noWrap w:val="0"/>
            <w:vAlign w:val="center"/>
          </w:tcPr>
          <w:p>
            <w:pPr>
              <w:tabs>
                <w:tab w:val="left" w:pos="1891"/>
                <w:tab w:val="left" w:pos="9394"/>
              </w:tabs>
              <w:autoSpaceDE w:val="0"/>
              <w:autoSpaceDN w:val="0"/>
              <w:adjustRightInd w:val="0"/>
              <w:spacing w:line="440" w:lineRule="exact"/>
              <w:jc w:val="center"/>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20</w:t>
            </w:r>
          </w:p>
        </w:tc>
        <w:tc>
          <w:tcPr>
            <w:tcW w:w="1021" w:type="pct"/>
            <w:noWrap w:val="0"/>
            <w:vAlign w:val="center"/>
          </w:tcPr>
          <w:p>
            <w:pPr>
              <w:tabs>
                <w:tab w:val="left" w:pos="1891"/>
                <w:tab w:val="left" w:pos="9394"/>
              </w:tabs>
              <w:autoSpaceDE w:val="0"/>
              <w:autoSpaceDN w:val="0"/>
              <w:adjustRightInd w:val="0"/>
              <w:spacing w:line="440" w:lineRule="exact"/>
              <w:rPr>
                <w:rFonts w:hint="eastAsia" w:ascii="宋体" w:hAnsi="宋体" w:eastAsia="宋体" w:cs="微软雅黑"/>
                <w:bCs/>
                <w:color w:val="auto"/>
                <w:sz w:val="24"/>
                <w:szCs w:val="24"/>
                <w:lang w:eastAsia="zh-CN"/>
              </w:rPr>
            </w:pPr>
            <w:r>
              <w:rPr>
                <w:rFonts w:hint="eastAsia" w:ascii="宋体" w:hAnsi="宋体" w:cs="微软雅黑"/>
                <w:bCs/>
                <w:color w:val="auto"/>
                <w:sz w:val="24"/>
                <w:szCs w:val="24"/>
              </w:rPr>
              <w:t>倒车</w:t>
            </w:r>
            <w:r>
              <w:rPr>
                <w:rFonts w:hint="eastAsia" w:ascii="宋体" w:hAnsi="宋体" w:cs="微软雅黑"/>
                <w:bCs/>
                <w:color w:val="auto"/>
                <w:sz w:val="24"/>
                <w:szCs w:val="24"/>
                <w:lang w:val="en-US" w:eastAsia="zh-CN"/>
              </w:rPr>
              <w:t>影像</w:t>
            </w:r>
          </w:p>
        </w:tc>
        <w:tc>
          <w:tcPr>
            <w:tcW w:w="3664" w:type="pct"/>
            <w:noWrap w:val="0"/>
            <w:vAlign w:val="center"/>
          </w:tcPr>
          <w:p>
            <w:pPr>
              <w:tabs>
                <w:tab w:val="left" w:pos="1891"/>
                <w:tab w:val="left" w:pos="9394"/>
              </w:tabs>
              <w:autoSpaceDE w:val="0"/>
              <w:autoSpaceDN w:val="0"/>
              <w:adjustRightInd w:val="0"/>
              <w:spacing w:line="440" w:lineRule="exact"/>
              <w:rPr>
                <w:rFonts w:hint="default" w:ascii="宋体" w:hAnsi="宋体" w:eastAsia="宋体" w:cs="微软雅黑"/>
                <w:bCs/>
                <w:color w:val="auto"/>
                <w:sz w:val="24"/>
                <w:szCs w:val="24"/>
                <w:lang w:val="en-US" w:eastAsia="zh-CN"/>
              </w:rPr>
            </w:pPr>
            <w:r>
              <w:rPr>
                <w:rFonts w:hint="eastAsia" w:ascii="宋体" w:hAnsi="宋体" w:cs="微软雅黑"/>
                <w:bCs/>
                <w:color w:val="auto"/>
                <w:sz w:val="24"/>
                <w:szCs w:val="24"/>
                <w:lang w:val="en-US" w:eastAsia="zh-CN"/>
              </w:rPr>
              <w:t>车尾部安装倒车影像，方便驾驶员倒车安全</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四、商务要求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（一）供应商报价包括但不限于货物设计、材料、生产制造、配套设施设备、包装、运输、安装、调试、检测、培训、利润、税金、保险、车辆购置税、车辆保险及上户费用，采购人不再另外支付其他费用。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（二）交货时间：合同签订生效后40日内送货到采购人指定地点，并按谈判文件要求和响应文件承诺安装、调试完成，交付采购人验收使用。</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（三）付款方式：合同签订后采购人支付中标供应商合同总价40%的预付款；产品全部到场，安装调试完毕，经试用90日历天</w:t>
      </w:r>
      <w:r>
        <w:rPr>
          <w:rFonts w:hint="eastAsia" w:ascii="仿宋_GB2312" w:eastAsia="仿宋_GB2312"/>
          <w:b w:val="0"/>
          <w:bCs/>
          <w:sz w:val="32"/>
          <w:szCs w:val="32"/>
          <w:highlight w:val="none"/>
          <w:lang w:val="en-US" w:eastAsia="zh-CN"/>
        </w:rPr>
        <w:t>后且</w:t>
      </w:r>
      <w:r>
        <w:rPr>
          <w:rFonts w:hint="eastAsia" w:ascii="仿宋_GB2312" w:eastAsia="仿宋_GB2312"/>
          <w:b w:val="0"/>
          <w:bCs/>
          <w:sz w:val="32"/>
          <w:szCs w:val="32"/>
          <w:highlight w:val="none"/>
          <w:lang w:val="en-US" w:eastAsia="zh-CN"/>
        </w:rPr>
        <w:t>验收通过，采购人收到供应商合法有效的发票后向成交供应商支付至合同金额的100%。</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（四）供货地点：采购人指定地点。</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（五）质保期及售后服务要求：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1、供应商提供的产品为原装正品(含零部件、配件等），供应商提供的产品生产日期须在交付日起的6个月内（因产品原因需延长时间的必须得到采购方同意后，方可执行），所交付产品必须满足采购方工作需求，必须满足表面无划伤、无碰撞痕迹、无水泡、无事故等非正常产品，且权属清楚，不得侵害他人的知识产权。</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2、质保期（质保期为验收合格之日起开始计算）：整车质保期≥车辆行驶3年或7</w:t>
      </w:r>
      <w:r>
        <w:rPr>
          <w:rFonts w:hint="eastAsia" w:ascii="仿宋_GB2312" w:eastAsia="仿宋_GB2312"/>
          <w:b w:val="0"/>
          <w:bCs/>
          <w:sz w:val="32"/>
          <w:szCs w:val="32"/>
          <w:highlight w:val="none"/>
          <w:lang w:val="en-US" w:eastAsia="zh-CN"/>
        </w:rPr>
        <w:t>万公里，先到为准；若需标准内简单改装，改装部分质保期限为验收合格后一年；供应商提供终身有偿运维服务。</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3、供应商具有专门固定的售后服务电话。</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4、供应商针对本项目向采购人提供培训服务，培训内容包括设备的性能、原理、操作、保养和维护等内容，达到采购人可独立使用，培训人数和地点由采购人指定，并在培训后提供技术咨询服务，费用包含在报价中。</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 xml:space="preserve">5、质保期内供应商提供24小时上门服务，货物出现质量问题，供应商应在接到通知后2 小时内到场，6 小时内完成维修，货物需更换的应在2 个工作日内完成更换。 </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 xml:space="preserve">6、货物经供应商3次维修或更换仍不能达到本项目约定的质量标准，视作供应商未能按时交货，采购人有权退货并追究供应商的违约责任。 </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 xml:space="preserve">7、供应商承诺项目全部货物的各种部件均保证齐备、充足供应，若因产品升级更新等原因不能保障供应造成采购人损失的，供应商承担全部赔偿责任，在交货时需向采购人提供货物常规备品备件。 </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 xml:space="preserve">8、质保期内供应商负责所有因货物质量问题而产生的费用，所有服务采购人不再支付费用。质保期满前一个月，供应商负责一次全面的检查、维护，并出具正式报告，如发现潜在问题，应负责排除不收取任何费用。 </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9、质保期内，供应商保证每年巡视维护设备不低于1 次，每年对货物进行1次保养和安全检测。</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六）履约验收方式及标准：成交人与采购人应参考《中华人民共和国政府采购法》《中华人民共和国政府采购法实施条例》（中华人民共和国国务院令第658号）以及《财政部关于进一步加强政府采购需求和履约验收管理的指导意见》财库〔2016〕205号文等相关法律法规、规章及文件的规定，并结合本项目谈判文件的要求和响应文件的承诺进行验收。双方如对质量要求和技术指标的约定标准有相互抵触或异议的事项，由采购人在招标与响应文件中按质量要求和技术指标比较优胜的原则确定该项的约定标准进行验收。验收结果不合格的，采购人有权解除合同，中标人则应按合同总价的百分之</w:t>
      </w:r>
      <w:r>
        <w:rPr>
          <w:rFonts w:hint="eastAsia" w:ascii="仿宋_GB2312" w:eastAsia="仿宋_GB2312"/>
          <w:b/>
          <w:bCs w:val="0"/>
          <w:sz w:val="32"/>
          <w:szCs w:val="32"/>
          <w:highlight w:val="none"/>
          <w:u w:val="single"/>
          <w:lang w:val="en-US" w:eastAsia="zh-CN"/>
        </w:rPr>
        <w:t>40</w:t>
      </w:r>
      <w:r>
        <w:rPr>
          <w:rFonts w:hint="eastAsia" w:ascii="仿宋_GB2312" w:eastAsia="仿宋_GB2312"/>
          <w:b w:val="0"/>
          <w:bCs/>
          <w:sz w:val="32"/>
          <w:szCs w:val="32"/>
          <w:highlight w:val="none"/>
          <w:lang w:val="en-US" w:eastAsia="zh-CN"/>
        </w:rPr>
        <w:t>的款额向采购人偿付违约金，并须全额退还采购人已经付给中标人的货款及其利息（日利率按照0.03%执行）。</w:t>
      </w:r>
    </w:p>
    <w:p>
      <w:pPr>
        <w:ind w:firstLine="643" w:firstLineChars="200"/>
        <w:jc w:val="left"/>
        <w:rPr>
          <w:rFonts w:hint="default" w:ascii="仿宋_GB2312" w:eastAsia="仿宋_GB2312" w:hAnsiTheme="minorHAnsi"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五</w:t>
      </w:r>
      <w:r>
        <w:rPr>
          <w:rFonts w:hint="eastAsia" w:ascii="仿宋_GB2312" w:eastAsia="仿宋_GB2312" w:hAnsiTheme="minorHAnsi" w:cstheme="minorBidi"/>
          <w:b/>
          <w:bCs/>
          <w:kern w:val="2"/>
          <w:sz w:val="32"/>
          <w:szCs w:val="32"/>
          <w:highlight w:val="none"/>
          <w:lang w:val="en-US" w:eastAsia="zh-CN" w:bidi="ar-SA"/>
        </w:rPr>
        <w:t>、</w:t>
      </w:r>
      <w:r>
        <w:rPr>
          <w:rFonts w:hint="eastAsia" w:ascii="仿宋_GB2312" w:eastAsia="仿宋_GB2312" w:cstheme="minorBidi"/>
          <w:b/>
          <w:bCs/>
          <w:kern w:val="2"/>
          <w:sz w:val="32"/>
          <w:szCs w:val="32"/>
          <w:highlight w:val="none"/>
          <w:lang w:val="en-US" w:eastAsia="zh-CN" w:bidi="ar-SA"/>
        </w:rPr>
        <w:t>其他要求</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一）涉及的商品包装和快递包装，均应符合《商品包装政府采购需求标准（试行）》《快递包装政府采购需求标准（试行）》的要求，包装应适应于远距离运输、防潮、防震、防锈和防野蛮装卸，以确保货物安全无损运抵指定地点。</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（二）供货时成交供应商须同时提交下列资料：车辆出厂合格证原件、说明书原件、三包凭证原件、购车发票原件等随车全套资料原件。</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（三）供应商及其相关人员在运输或项目实施过程中发生的任何意外情况，均与采购人无关。</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（四）违约责任</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1、供应商必须遵守采购合同并执行合同中的各项规定，保证采购合同的正常履行。</w:t>
      </w:r>
    </w:p>
    <w:p>
      <w:pPr>
        <w:ind w:firstLine="640" w:firstLineChars="200"/>
        <w:rPr>
          <w:rFonts w:hint="eastAsia"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2、如因供应商工作人员在履行职务过程中给采购人造成损失或侵害，包括但不限于采购人本身的财产损失、由此而导致的采购人对任何第三方的法律责任等，供应商对此均应承担全部的赔偿责任。</w:t>
      </w:r>
    </w:p>
    <w:p>
      <w:pPr>
        <w:ind w:firstLine="643" w:firstLineChars="200"/>
        <w:jc w:val="left"/>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六、纠纷的解决办法：</w:t>
      </w:r>
      <w:r>
        <w:rPr>
          <w:rFonts w:hint="eastAsia" w:ascii="仿宋_GB2312" w:eastAsia="仿宋_GB2312" w:cstheme="minorBidi"/>
          <w:b w:val="0"/>
          <w:bCs w:val="0"/>
          <w:kern w:val="2"/>
          <w:sz w:val="32"/>
          <w:szCs w:val="32"/>
          <w:highlight w:val="none"/>
          <w:lang w:val="en-US" w:eastAsia="zh-CN" w:bidi="ar-SA"/>
        </w:rPr>
        <w:t>在签订合同地点的当地人民法院诉讼解决。</w:t>
      </w:r>
    </w:p>
    <w:p>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textAlignment w:val="auto"/>
        <w:outlineLvl w:val="1"/>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七、其他未尽事宜由采购人与成交供应商在采购合同中进行约定。</w:t>
      </w:r>
    </w:p>
    <w:p>
      <w:pPr>
        <w:pStyle w:val="7"/>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bCs/>
          <w:color w:val="000000"/>
          <w:sz w:val="24"/>
          <w:highlight w:val="none"/>
        </w:rPr>
      </w:pPr>
      <w:r>
        <w:rPr>
          <w:rFonts w:hint="eastAsia" w:ascii="宋体" w:hAnsi="宋体"/>
          <w:b/>
          <w:bCs/>
          <w:color w:val="000000"/>
          <w:sz w:val="24"/>
          <w:highlight w:val="none"/>
        </w:rPr>
        <w:t>注意：</w:t>
      </w:r>
      <w:r>
        <w:rPr>
          <w:rFonts w:hint="eastAsia" w:ascii="宋体" w:hAnsi="宋体"/>
          <w:b/>
          <w:bCs/>
          <w:color w:val="000000"/>
          <w:sz w:val="24"/>
          <w:highlight w:val="none"/>
          <w:lang w:val="en-US" w:eastAsia="zh-CN"/>
        </w:rPr>
        <w:t>本章的要求为实质性要求，不允许有负偏离，否则将认定为无效响应。</w:t>
      </w:r>
    </w:p>
    <w:p>
      <w:pPr>
        <w:pStyle w:val="24"/>
        <w:rPr>
          <w:rFonts w:hint="default"/>
          <w:highlight w:val="none"/>
          <w:lang w:val="en-US" w:eastAsia="zh-CN"/>
        </w:rPr>
      </w:pPr>
    </w:p>
    <w:p>
      <w:pPr>
        <w:spacing w:line="360" w:lineRule="exact"/>
        <w:ind w:firstLine="643" w:firstLineChars="200"/>
        <w:jc w:val="center"/>
        <w:rPr>
          <w:b/>
          <w:sz w:val="32"/>
          <w:szCs w:val="28"/>
          <w:highlight w:val="none"/>
        </w:rPr>
      </w:pPr>
    </w:p>
    <w:bookmarkEnd w:id="4"/>
    <w:p>
      <w:pPr>
        <w:pStyle w:val="3"/>
        <w:bidi w:val="0"/>
        <w:jc w:val="center"/>
        <w:rPr>
          <w:rFonts w:hint="eastAsia"/>
          <w:highlight w:val="none"/>
        </w:rPr>
      </w:pPr>
      <w:bookmarkStart w:id="5" w:name="_Toc16230"/>
    </w:p>
    <w:p>
      <w:pPr>
        <w:pStyle w:val="3"/>
        <w:bidi w:val="0"/>
        <w:jc w:val="center"/>
        <w:rPr>
          <w:rFonts w:hint="eastAsia"/>
          <w:highlight w:val="none"/>
        </w:rPr>
      </w:pPr>
    </w:p>
    <w:p>
      <w:pPr>
        <w:pStyle w:val="3"/>
        <w:bidi w:val="0"/>
        <w:jc w:val="center"/>
        <w:rPr>
          <w:rFonts w:hint="eastAsia"/>
          <w:highlight w:val="none"/>
        </w:rPr>
      </w:pPr>
    </w:p>
    <w:p>
      <w:pPr>
        <w:pStyle w:val="3"/>
        <w:bidi w:val="0"/>
        <w:jc w:val="center"/>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b/>
          <w:bCs/>
          <w:sz w:val="36"/>
          <w:szCs w:val="36"/>
          <w:highlight w:val="none"/>
        </w:rPr>
      </w:pPr>
      <w:r>
        <w:rPr>
          <w:rFonts w:hint="eastAsia"/>
          <w:b/>
          <w:bCs/>
          <w:sz w:val="36"/>
          <w:szCs w:val="36"/>
          <w:highlight w:val="none"/>
        </w:rPr>
        <w:t>第四章  响应文件内容及制作要求</w:t>
      </w:r>
      <w:bookmarkEnd w:id="5"/>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1、响应文件的编制及要求：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w:t>
      </w:r>
      <w:r>
        <w:rPr>
          <w:rFonts w:ascii="仿宋" w:hAnsi="仿宋" w:eastAsia="仿宋"/>
          <w:sz w:val="32"/>
          <w:highlight w:val="none"/>
        </w:rPr>
        <w:t>.1</w:t>
      </w:r>
      <w:r>
        <w:rPr>
          <w:rFonts w:hint="eastAsia" w:ascii="仿宋" w:hAnsi="仿宋" w:eastAsia="仿宋"/>
          <w:sz w:val="32"/>
          <w:highlight w:val="none"/>
        </w:rPr>
        <w:t>供应商所递交的响应文件应包含下述文件：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1.1.1供应商廉洁承诺书（规定格式）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Cs/>
          <w:sz w:val="32"/>
          <w:highlight w:val="none"/>
        </w:rPr>
      </w:pPr>
      <w:r>
        <w:rPr>
          <w:rFonts w:hint="eastAsia" w:ascii="仿宋" w:hAnsi="仿宋" w:eastAsia="仿宋"/>
          <w:sz w:val="32"/>
          <w:highlight w:val="none"/>
        </w:rPr>
        <w:t>1.1.2</w:t>
      </w:r>
      <w:r>
        <w:rPr>
          <w:rFonts w:hint="eastAsia" w:ascii="仿宋" w:hAnsi="仿宋" w:eastAsia="仿宋"/>
          <w:bCs/>
          <w:sz w:val="32"/>
          <w:highlight w:val="none"/>
        </w:rPr>
        <w:t>法定代表人（负责人、经营者)委托代理人参加的，须提供法定代表人（负责人、经营者)授权书</w:t>
      </w:r>
      <w:r>
        <w:rPr>
          <w:rFonts w:hint="eastAsia" w:ascii="仿宋" w:hAnsi="仿宋" w:eastAsia="仿宋"/>
          <w:b/>
          <w:bCs/>
          <w:sz w:val="32"/>
          <w:highlight w:val="none"/>
        </w:rPr>
        <w:t>（原件）</w:t>
      </w:r>
      <w:r>
        <w:rPr>
          <w:rFonts w:hint="eastAsia" w:ascii="仿宋" w:hAnsi="仿宋" w:eastAsia="仿宋"/>
          <w:bCs/>
          <w:sz w:val="32"/>
          <w:highlight w:val="none"/>
        </w:rPr>
        <w:t>；法定代表人（负责人、经营者)亲自参加的，须提供法定代表人（负责人、经营者)身份证明</w:t>
      </w:r>
      <w:r>
        <w:rPr>
          <w:rFonts w:hint="eastAsia" w:ascii="仿宋" w:hAnsi="仿宋" w:eastAsia="仿宋"/>
          <w:b/>
          <w:bCs/>
          <w:sz w:val="32"/>
          <w:highlight w:val="none"/>
        </w:rPr>
        <w:t>（原件）</w:t>
      </w:r>
      <w:r>
        <w:rPr>
          <w:rFonts w:hint="eastAsia" w:ascii="仿宋" w:hAnsi="仿宋" w:eastAsia="仿宋"/>
          <w:bCs/>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
          <w:bCs/>
          <w:sz w:val="32"/>
          <w:highlight w:val="none"/>
        </w:rPr>
      </w:pPr>
      <w:r>
        <w:rPr>
          <w:rFonts w:hint="eastAsia" w:ascii="仿宋" w:hAnsi="仿宋" w:eastAsia="仿宋"/>
          <w:sz w:val="32"/>
          <w:highlight w:val="none"/>
        </w:rPr>
        <w:t>1.1.3</w:t>
      </w:r>
      <w:r>
        <w:rPr>
          <w:rFonts w:hint="eastAsia" w:ascii="仿宋" w:hAnsi="仿宋" w:eastAsia="仿宋"/>
          <w:bCs/>
          <w:sz w:val="32"/>
          <w:highlight w:val="none"/>
        </w:rPr>
        <w:t>法定代表人（负责人、经营者)和授权代表身份证</w:t>
      </w:r>
      <w:r>
        <w:rPr>
          <w:rFonts w:hint="eastAsia" w:ascii="仿宋" w:hAnsi="仿宋" w:eastAsia="仿宋"/>
          <w:b/>
          <w:bCs/>
          <w:sz w:val="32"/>
          <w:highlight w:val="none"/>
        </w:rPr>
        <w:t>（复印件）；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eastAsia="仿宋_GB2312" w:cs="Times New Roman"/>
          <w:sz w:val="32"/>
          <w:szCs w:val="32"/>
          <w:highlight w:val="none"/>
        </w:rPr>
      </w:pPr>
      <w:r>
        <w:rPr>
          <w:rFonts w:hint="eastAsia" w:ascii="仿宋" w:hAnsi="仿宋" w:eastAsia="仿宋"/>
          <w:sz w:val="32"/>
          <w:highlight w:val="none"/>
        </w:rPr>
        <w:t>1.1.4公司资质复印件加盖公司公章：营业执照、组织机构代码证、税务登记证、等证件</w:t>
      </w:r>
      <w:r>
        <w:rPr>
          <w:rFonts w:hint="eastAsia" w:ascii="仿宋" w:hAnsi="仿宋" w:eastAsia="仿宋"/>
          <w:b/>
          <w:sz w:val="32"/>
          <w:highlight w:val="none"/>
        </w:rPr>
        <w:t>（均提供复印件）</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1.1.5承诺函（规定格式）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1.1.6报价表；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w:t>
      </w:r>
      <w:r>
        <w:rPr>
          <w:rFonts w:ascii="仿宋" w:hAnsi="仿宋" w:eastAsia="仿宋"/>
          <w:sz w:val="32"/>
          <w:highlight w:val="none"/>
        </w:rPr>
        <w:t>7</w:t>
      </w:r>
      <w:r>
        <w:rPr>
          <w:rFonts w:hint="eastAsia" w:ascii="仿宋" w:hAnsi="仿宋" w:eastAsia="仿宋"/>
          <w:sz w:val="32"/>
          <w:highlight w:val="none"/>
        </w:rPr>
        <w:t>中小企业声明函；</w:t>
      </w:r>
    </w:p>
    <w:p>
      <w:pPr>
        <w:pStyle w:val="7"/>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仿宋"/>
          <w:highlight w:val="none"/>
          <w:lang w:val="en-US" w:eastAsia="zh-CN"/>
        </w:rPr>
      </w:pPr>
      <w:r>
        <w:rPr>
          <w:rFonts w:hint="eastAsia" w:ascii="仿宋" w:hAnsi="仿宋" w:eastAsia="仿宋"/>
          <w:sz w:val="32"/>
          <w:highlight w:val="none"/>
          <w:lang w:val="en-US" w:eastAsia="zh-CN"/>
        </w:rPr>
        <w:t>1.1.8供应商认为需要提供的</w:t>
      </w:r>
      <w:r>
        <w:rPr>
          <w:rFonts w:hint="eastAsia" w:ascii="仿宋_GB2312" w:hAnsi="宋体" w:eastAsia="仿宋_GB2312"/>
          <w:sz w:val="32"/>
          <w:szCs w:val="32"/>
          <w:highlight w:val="none"/>
          <w:lang w:val="en-US" w:eastAsia="zh-CN"/>
        </w:rPr>
        <w:t>其它响应文件。</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ascii="仿宋" w:hAnsi="仿宋" w:eastAsia="仿宋"/>
          <w:b/>
          <w:sz w:val="32"/>
          <w:highlight w:val="none"/>
        </w:rPr>
        <w:t>2</w:t>
      </w:r>
      <w:r>
        <w:rPr>
          <w:rFonts w:hint="eastAsia" w:ascii="仿宋" w:hAnsi="仿宋" w:eastAsia="仿宋"/>
          <w:b/>
          <w:sz w:val="32"/>
          <w:highlight w:val="none"/>
        </w:rPr>
        <w:t>、响应文件的印制和签署：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2.1响应文件应全部采用A4纸，用不能擦去的墨料或墨水打印或书写。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2.2凡有增加或修正之处均应由法定代表人或授权代表签章证明。</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3、响应文件的密封、标注和提交：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w:t>
      </w:r>
      <w:r>
        <w:rPr>
          <w:rFonts w:ascii="仿宋" w:hAnsi="仿宋" w:eastAsia="仿宋"/>
          <w:sz w:val="32"/>
          <w:highlight w:val="none"/>
        </w:rPr>
        <w:t>.1</w:t>
      </w:r>
      <w:r>
        <w:rPr>
          <w:rFonts w:hint="eastAsia" w:ascii="仿宋" w:hAnsi="仿宋" w:eastAsia="仿宋"/>
          <w:sz w:val="32"/>
          <w:highlight w:val="none"/>
        </w:rPr>
        <w:t>供应商应将响应文件全部密封到一个包封中，包封应注明供应商名称、项目名称、日期，并在封袋骑缝处以显著标志密封，并加盖供应商公章。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3.2供应商法定代表人或授权代表于202</w:t>
      </w:r>
      <w:r>
        <w:rPr>
          <w:rFonts w:hint="eastAsia" w:ascii="仿宋" w:hAnsi="仿宋" w:eastAsia="仿宋"/>
          <w:sz w:val="32"/>
          <w:highlight w:val="none"/>
          <w:lang w:val="en-US" w:eastAsia="zh-CN"/>
        </w:rPr>
        <w:t>5</w:t>
      </w:r>
      <w:r>
        <w:rPr>
          <w:rFonts w:hint="eastAsia" w:ascii="仿宋" w:hAnsi="仿宋" w:eastAsia="仿宋"/>
          <w:sz w:val="32"/>
          <w:highlight w:val="none"/>
        </w:rPr>
        <w:t>年</w:t>
      </w:r>
      <w:r>
        <w:rPr>
          <w:rFonts w:hint="eastAsia" w:ascii="仿宋" w:hAnsi="仿宋" w:eastAsia="仿宋"/>
          <w:sz w:val="32"/>
          <w:highlight w:val="none"/>
          <w:lang w:val="en-US" w:eastAsia="zh-CN"/>
        </w:rPr>
        <w:t>10</w:t>
      </w:r>
      <w:r>
        <w:rPr>
          <w:rFonts w:hint="eastAsia" w:ascii="仿宋" w:hAnsi="仿宋" w:eastAsia="仿宋"/>
          <w:sz w:val="32"/>
          <w:highlight w:val="none"/>
        </w:rPr>
        <w:t>月</w:t>
      </w:r>
      <w:r>
        <w:rPr>
          <w:rFonts w:hint="eastAsia" w:ascii="仿宋" w:hAnsi="仿宋" w:eastAsia="仿宋"/>
          <w:sz w:val="32"/>
          <w:highlight w:val="none"/>
          <w:lang w:val="en-US" w:eastAsia="zh-CN"/>
        </w:rPr>
        <w:t>23</w:t>
      </w:r>
      <w:r>
        <w:rPr>
          <w:rFonts w:hint="eastAsia" w:ascii="仿宋" w:hAnsi="仿宋" w:eastAsia="仿宋"/>
          <w:sz w:val="32"/>
          <w:highlight w:val="none"/>
        </w:rPr>
        <w:t>日</w:t>
      </w:r>
      <w:r>
        <w:rPr>
          <w:rFonts w:hint="eastAsia" w:ascii="仿宋" w:hAnsi="仿宋" w:eastAsia="仿宋"/>
          <w:sz w:val="32"/>
          <w:highlight w:val="none"/>
          <w:lang w:val="en-US" w:eastAsia="zh-CN"/>
        </w:rPr>
        <w:t>15</w:t>
      </w:r>
      <w:r>
        <w:rPr>
          <w:rFonts w:hint="eastAsia" w:ascii="仿宋" w:hAnsi="仿宋" w:eastAsia="仿宋"/>
          <w:sz w:val="32"/>
          <w:highlight w:val="none"/>
        </w:rPr>
        <w:t>:00前将响应文件送至德阳市精神卫生中心</w:t>
      </w:r>
      <w:r>
        <w:rPr>
          <w:rFonts w:hint="eastAsia" w:ascii="仿宋" w:hAnsi="仿宋" w:eastAsia="仿宋"/>
          <w:sz w:val="32"/>
          <w:highlight w:val="none"/>
          <w:lang w:val="en-US" w:eastAsia="zh-CN"/>
        </w:rPr>
        <w:t>行政办公</w:t>
      </w:r>
      <w:r>
        <w:rPr>
          <w:rFonts w:hint="eastAsia" w:ascii="仿宋" w:hAnsi="仿宋" w:eastAsia="仿宋"/>
          <w:sz w:val="32"/>
          <w:highlight w:val="none"/>
        </w:rPr>
        <w:t>楼</w:t>
      </w:r>
      <w:r>
        <w:rPr>
          <w:rFonts w:hint="eastAsia" w:ascii="仿宋" w:hAnsi="仿宋" w:eastAsia="仿宋"/>
          <w:sz w:val="32"/>
          <w:highlight w:val="none"/>
          <w:lang w:val="en-US" w:eastAsia="zh-CN"/>
        </w:rPr>
        <w:t>203室招采科</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4、无效响应文件情形：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4.1、未在响应文件递交截止期前递交的响应文件；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4.2、响应文件未按规定密封盖章；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4.3、响应文件所要求的地方未盖供应商法人章，法定代表人或授权代表应章或签字。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4.4、响应文件字迹潦草、模糊、无法辨认；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4.5、供应商提供的有效证明材料不齐全或未提供齐全有效的公司资质资料。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宋体" w:hAnsi="宋体"/>
          <w:sz w:val="24"/>
          <w:highlight w:val="none"/>
        </w:rPr>
      </w:pPr>
      <w:r>
        <w:rPr>
          <w:rFonts w:hint="eastAsia" w:ascii="仿宋" w:hAnsi="仿宋" w:eastAsia="仿宋"/>
          <w:sz w:val="32"/>
          <w:highlight w:val="none"/>
        </w:rPr>
        <w:t>4.6、未响应第</w:t>
      </w:r>
      <w:r>
        <w:rPr>
          <w:rFonts w:hint="eastAsia" w:ascii="仿宋" w:hAnsi="仿宋" w:eastAsia="仿宋"/>
          <w:sz w:val="32"/>
          <w:highlight w:val="none"/>
          <w:lang w:val="en-US" w:eastAsia="zh-CN"/>
        </w:rPr>
        <w:t>三</w:t>
      </w:r>
      <w:r>
        <w:rPr>
          <w:rFonts w:hint="eastAsia" w:ascii="仿宋" w:hAnsi="仿宋" w:eastAsia="仿宋"/>
          <w:sz w:val="32"/>
          <w:highlight w:val="none"/>
        </w:rPr>
        <w:t>章要求或响应第三章要求，但是有负偏离的。</w:t>
      </w: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bookmarkStart w:id="6" w:name="_Toc32336"/>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jc w:val="both"/>
        <w:outlineLvl w:val="0"/>
        <w:rPr>
          <w:rFonts w:hint="eastAsia" w:ascii="黑体" w:hAnsi="黑体" w:eastAsia="黑体"/>
          <w:b/>
          <w:sz w:val="32"/>
          <w:szCs w:val="32"/>
          <w:highlight w:val="none"/>
          <w:lang w:val="zh-CN"/>
        </w:rPr>
      </w:pPr>
    </w:p>
    <w:p>
      <w:pPr>
        <w:pStyle w:val="3"/>
        <w:bidi w:val="0"/>
        <w:jc w:val="center"/>
        <w:rPr>
          <w:rFonts w:ascii="宋体" w:hAnsi="宋体" w:eastAsia="宋体"/>
          <w:b/>
          <w:sz w:val="32"/>
          <w:szCs w:val="28"/>
          <w:highlight w:val="none"/>
        </w:rPr>
      </w:pPr>
      <w:r>
        <w:rPr>
          <w:rFonts w:hint="eastAsia"/>
          <w:highlight w:val="none"/>
          <w:lang w:val="zh-CN"/>
        </w:rPr>
        <w:t xml:space="preserve">第五章  </w:t>
      </w:r>
      <w:r>
        <w:rPr>
          <w:rFonts w:hint="eastAsia"/>
          <w:highlight w:val="none"/>
        </w:rPr>
        <w:t>开评标及定标</w:t>
      </w:r>
      <w:bookmarkEnd w:id="6"/>
    </w:p>
    <w:p>
      <w:pPr>
        <w:keepNext w:val="0"/>
        <w:keepLines w:val="0"/>
        <w:pageBreakBefore w:val="0"/>
        <w:widowControl w:val="0"/>
        <w:kinsoku/>
        <w:wordWrap/>
        <w:overflowPunct/>
        <w:topLinePunct w:val="0"/>
        <w:bidi w:val="0"/>
        <w:spacing w:line="360" w:lineRule="auto"/>
        <w:ind w:firstLine="643" w:firstLineChars="200"/>
        <w:rPr>
          <w:rFonts w:ascii="宋体" w:hAnsi="宋体" w:eastAsia="宋体"/>
          <w:b/>
          <w:sz w:val="32"/>
          <w:highlight w:val="none"/>
        </w:rPr>
      </w:pPr>
      <w:bookmarkStart w:id="7" w:name="_Hlk73899877"/>
      <w:r>
        <w:rPr>
          <w:rFonts w:hint="eastAsia" w:ascii="宋体" w:hAnsi="宋体" w:eastAsia="宋体"/>
          <w:b/>
          <w:sz w:val="32"/>
          <w:highlight w:val="none"/>
        </w:rPr>
        <w:t>1、谈判及成交：</w:t>
      </w:r>
      <w:r>
        <w:rPr>
          <w:rFonts w:hint="eastAsia" w:ascii="宋体" w:hAnsi="宋体" w:eastAsia="宋体"/>
          <w:sz w:val="32"/>
          <w:highlight w:val="none"/>
        </w:rPr>
        <w:t>评审方法参考《中华人民共和国政府采购法》、《中华人民共和国政府采购法实施条例》、《政府采购非招标采购方式管理办法》等法律制度，根据质量和服务均能满足谈判文件实质性响应要求且最后报价最低的原则确定成交供应商。</w:t>
      </w:r>
    </w:p>
    <w:p>
      <w:pPr>
        <w:keepNext w:val="0"/>
        <w:keepLines w:val="0"/>
        <w:pageBreakBefore w:val="0"/>
        <w:widowControl w:val="0"/>
        <w:kinsoku/>
        <w:wordWrap/>
        <w:overflowPunct/>
        <w:topLinePunct w:val="0"/>
        <w:bidi w:val="0"/>
        <w:spacing w:after="120" w:line="594" w:lineRule="exact"/>
        <w:ind w:firstLine="640" w:firstLineChars="200"/>
        <w:rPr>
          <w:rFonts w:ascii="仿宋_GB2312" w:hAnsi="宋体" w:eastAsia="仿宋_GB2312"/>
          <w:sz w:val="32"/>
          <w:szCs w:val="32"/>
          <w:highlight w:val="none"/>
        </w:rPr>
      </w:pPr>
      <w:r>
        <w:rPr>
          <w:rFonts w:hint="eastAsia" w:ascii="宋体" w:hAnsi="宋体" w:eastAsia="宋体"/>
          <w:sz w:val="32"/>
          <w:highlight w:val="none"/>
        </w:rPr>
        <w:t>1</w:t>
      </w:r>
      <w:r>
        <w:rPr>
          <w:rFonts w:ascii="宋体" w:hAnsi="宋体" w:eastAsia="宋体"/>
          <w:sz w:val="32"/>
          <w:highlight w:val="none"/>
        </w:rPr>
        <w:t>.1</w:t>
      </w:r>
      <w:r>
        <w:rPr>
          <w:rFonts w:hint="eastAsia" w:ascii="宋体" w:hAnsi="宋体" w:eastAsia="宋体"/>
          <w:sz w:val="32"/>
          <w:highlight w:val="none"/>
        </w:rPr>
        <w:t>拟定开标时间</w:t>
      </w:r>
      <w:r>
        <w:rPr>
          <w:rFonts w:hint="eastAsia" w:ascii="宋体" w:hAnsi="宋体" w:eastAsia="宋体"/>
          <w:sz w:val="32"/>
          <w:highlight w:val="none"/>
          <w:lang w:val="en-US" w:eastAsia="zh-CN"/>
        </w:rPr>
        <w:t>10</w:t>
      </w:r>
      <w:r>
        <w:rPr>
          <w:rFonts w:hint="eastAsia" w:ascii="宋体" w:hAnsi="宋体" w:eastAsia="宋体"/>
          <w:sz w:val="32"/>
          <w:highlight w:val="none"/>
        </w:rPr>
        <w:t>月</w:t>
      </w:r>
      <w:r>
        <w:rPr>
          <w:rFonts w:hint="eastAsia" w:ascii="宋体" w:hAnsi="宋体" w:eastAsia="宋体"/>
          <w:sz w:val="32"/>
          <w:highlight w:val="none"/>
          <w:lang w:val="en-US" w:eastAsia="zh-CN"/>
        </w:rPr>
        <w:t>23</w:t>
      </w:r>
      <w:r>
        <w:rPr>
          <w:rFonts w:hint="eastAsia" w:ascii="宋体" w:hAnsi="宋体" w:eastAsia="宋体"/>
          <w:sz w:val="32"/>
          <w:highlight w:val="none"/>
        </w:rPr>
        <w:t>日</w:t>
      </w:r>
      <w:r>
        <w:rPr>
          <w:rFonts w:hint="eastAsia" w:ascii="宋体" w:hAnsi="宋体" w:eastAsia="宋体"/>
          <w:sz w:val="32"/>
          <w:highlight w:val="none"/>
          <w:lang w:val="en-US" w:eastAsia="zh-CN"/>
        </w:rPr>
        <w:t>15</w:t>
      </w:r>
      <w:bookmarkStart w:id="15" w:name="_GoBack"/>
      <w:bookmarkEnd w:id="15"/>
      <w:r>
        <w:rPr>
          <w:rFonts w:hint="eastAsia" w:ascii="宋体" w:hAnsi="宋体" w:eastAsia="宋体"/>
          <w:sz w:val="32"/>
          <w:highlight w:val="none"/>
        </w:rPr>
        <w:t>:</w:t>
      </w:r>
      <w:r>
        <w:rPr>
          <w:rFonts w:hint="eastAsia" w:ascii="宋体" w:hAnsi="宋体" w:eastAsia="宋体"/>
          <w:sz w:val="32"/>
          <w:highlight w:val="none"/>
          <w:lang w:val="en-US" w:eastAsia="zh-CN"/>
        </w:rPr>
        <w:t>0</w:t>
      </w:r>
      <w:r>
        <w:rPr>
          <w:rFonts w:hint="eastAsia" w:ascii="宋体" w:hAnsi="宋体" w:eastAsia="宋体"/>
          <w:sz w:val="32"/>
          <w:highlight w:val="none"/>
        </w:rPr>
        <w:t>0，如因工作原因不能按时开标，具体开标时间根据实际情况另行通知。</w:t>
      </w:r>
    </w:p>
    <w:p>
      <w:pPr>
        <w:keepNext w:val="0"/>
        <w:keepLines w:val="0"/>
        <w:pageBreakBefore w:val="0"/>
        <w:widowControl w:val="0"/>
        <w:kinsoku/>
        <w:wordWrap/>
        <w:overflowPunct/>
        <w:topLinePunct w:val="0"/>
        <w:bidi w:val="0"/>
        <w:spacing w:line="360" w:lineRule="auto"/>
        <w:ind w:firstLine="640" w:firstLineChars="200"/>
        <w:rPr>
          <w:rFonts w:ascii="宋体" w:hAnsi="宋体" w:eastAsia="宋体"/>
          <w:sz w:val="32"/>
          <w:highlight w:val="none"/>
        </w:rPr>
      </w:pPr>
      <w:r>
        <w:rPr>
          <w:rFonts w:hint="eastAsia" w:ascii="宋体" w:hAnsi="宋体" w:eastAsia="宋体"/>
          <w:sz w:val="32"/>
          <w:highlight w:val="none"/>
        </w:rPr>
        <w:t>1</w:t>
      </w:r>
      <w:r>
        <w:rPr>
          <w:rFonts w:ascii="宋体" w:hAnsi="宋体" w:eastAsia="宋体"/>
          <w:sz w:val="32"/>
          <w:highlight w:val="none"/>
        </w:rPr>
        <w:t>.2</w:t>
      </w:r>
      <w:r>
        <w:rPr>
          <w:rFonts w:hint="eastAsia" w:ascii="宋体" w:hAnsi="宋体" w:eastAsia="宋体"/>
          <w:sz w:val="32"/>
          <w:highlight w:val="none"/>
        </w:rPr>
        <w:t>评审及成交：</w:t>
      </w:r>
    </w:p>
    <w:p>
      <w:pPr>
        <w:keepNext w:val="0"/>
        <w:keepLines w:val="0"/>
        <w:pageBreakBefore w:val="0"/>
        <w:widowControl w:val="0"/>
        <w:kinsoku/>
        <w:wordWrap/>
        <w:overflowPunct/>
        <w:topLinePunct w:val="0"/>
        <w:bidi w:val="0"/>
        <w:spacing w:line="360" w:lineRule="auto"/>
        <w:ind w:firstLine="640" w:firstLineChars="200"/>
        <w:rPr>
          <w:rFonts w:hint="eastAsia" w:ascii="宋体" w:hAnsi="宋体" w:eastAsia="宋体"/>
          <w:sz w:val="32"/>
          <w:highlight w:val="none"/>
        </w:rPr>
      </w:pPr>
      <w:r>
        <w:rPr>
          <w:rFonts w:hint="eastAsia" w:ascii="宋体" w:hAnsi="宋体" w:eastAsia="宋体"/>
          <w:sz w:val="32"/>
          <w:highlight w:val="none"/>
        </w:rPr>
        <w:t>1.2.1、评审由我中心组建的评审小组进行评审；</w:t>
      </w:r>
    </w:p>
    <w:p>
      <w:pPr>
        <w:pStyle w:val="4"/>
        <w:keepNext w:val="0"/>
        <w:keepLines w:val="0"/>
        <w:pageBreakBefore w:val="0"/>
        <w:widowControl w:val="0"/>
        <w:kinsoku/>
        <w:wordWrap/>
        <w:overflowPunct/>
        <w:topLinePunct w:val="0"/>
        <w:bidi w:val="0"/>
        <w:spacing w:before="0" w:after="0" w:line="360" w:lineRule="auto"/>
        <w:ind w:firstLine="627" w:firstLineChars="196"/>
        <w:rPr>
          <w:highlight w:val="none"/>
        </w:rPr>
      </w:pPr>
      <w:r>
        <w:rPr>
          <w:rFonts w:hint="eastAsia" w:ascii="宋体" w:hAnsi="宋体" w:eastAsia="宋体" w:cstheme="minorBidi"/>
          <w:b w:val="0"/>
          <w:bCs w:val="0"/>
          <w:kern w:val="2"/>
          <w:sz w:val="32"/>
          <w:szCs w:val="22"/>
          <w:highlight w:val="none"/>
          <w:lang w:val="en-US" w:eastAsia="zh-CN" w:bidi="ar-SA"/>
        </w:rPr>
        <w:t>1.2.2、谈判小组所有成员集中与单一供应商分别进行一轮或多轮谈判，并给予所有参加谈判的供应商平等的谈判机会。谈判以现场或电话的方式进行谈判。谈判过程中，谈判小组可以根据谈判情况调整谈判轮次。</w:t>
      </w:r>
    </w:p>
    <w:p>
      <w:pPr>
        <w:pStyle w:val="6"/>
        <w:keepNext w:val="0"/>
        <w:keepLines w:val="0"/>
        <w:pageBreakBefore w:val="0"/>
        <w:widowControl w:val="0"/>
        <w:kinsoku/>
        <w:wordWrap/>
        <w:overflowPunct/>
        <w:topLinePunct w:val="0"/>
        <w:bidi w:val="0"/>
        <w:ind w:firstLine="640" w:firstLineChars="200"/>
        <w:rPr>
          <w:rFonts w:hint="eastAsia" w:ascii="宋体" w:hAnsi="宋体" w:eastAsia="宋体"/>
          <w:sz w:val="32"/>
          <w:highlight w:val="none"/>
        </w:rPr>
      </w:pPr>
      <w:r>
        <w:rPr>
          <w:rFonts w:hint="eastAsia" w:ascii="宋体" w:hAnsi="宋体" w:eastAsia="宋体"/>
          <w:sz w:val="32"/>
          <w:highlight w:val="none"/>
        </w:rPr>
        <w:t>1.2.</w:t>
      </w:r>
      <w:r>
        <w:rPr>
          <w:rFonts w:hint="eastAsia" w:ascii="宋体" w:hAnsi="宋体" w:eastAsia="宋体"/>
          <w:sz w:val="32"/>
          <w:highlight w:val="none"/>
          <w:lang w:val="en-US" w:eastAsia="zh-CN"/>
        </w:rPr>
        <w:t>3</w:t>
      </w:r>
      <w:r>
        <w:rPr>
          <w:rFonts w:hint="eastAsia" w:ascii="宋体" w:hAnsi="宋体" w:eastAsia="宋体"/>
          <w:sz w:val="32"/>
          <w:highlight w:val="none"/>
        </w:rPr>
        <w:t>、供应商对谈判会议，评审过程中所提问题或疑义的，采购人不做任何答复。</w:t>
      </w:r>
      <w:bookmarkEnd w:id="7"/>
    </w:p>
    <w:p>
      <w:pPr>
        <w:pStyle w:val="6"/>
        <w:keepNext w:val="0"/>
        <w:keepLines w:val="0"/>
        <w:pageBreakBefore w:val="0"/>
        <w:widowControl w:val="0"/>
        <w:kinsoku/>
        <w:wordWrap/>
        <w:overflowPunct/>
        <w:topLinePunct w:val="0"/>
        <w:bidi w:val="0"/>
        <w:ind w:firstLine="640" w:firstLineChars="200"/>
        <w:rPr>
          <w:rFonts w:hint="default" w:ascii="宋体" w:hAnsi="宋体" w:eastAsia="宋体"/>
          <w:sz w:val="32"/>
          <w:highlight w:val="none"/>
          <w:lang w:val="en-US" w:eastAsia="zh-CN"/>
        </w:rPr>
      </w:pPr>
    </w:p>
    <w:p>
      <w:pPr>
        <w:pStyle w:val="3"/>
        <w:keepNext w:val="0"/>
        <w:keepLines w:val="0"/>
        <w:pageBreakBefore w:val="0"/>
        <w:widowControl w:val="0"/>
        <w:kinsoku/>
        <w:wordWrap/>
        <w:overflowPunct/>
        <w:topLinePunct w:val="0"/>
        <w:bidi w:val="0"/>
        <w:spacing w:before="260" w:after="260" w:line="600" w:lineRule="exact"/>
        <w:jc w:val="both"/>
        <w:outlineLvl w:val="0"/>
        <w:rPr>
          <w:rStyle w:val="34"/>
          <w:rFonts w:hint="eastAsia"/>
          <w:b/>
          <w:bCs/>
          <w:sz w:val="36"/>
          <w:szCs w:val="36"/>
          <w:highlight w:val="none"/>
        </w:rPr>
      </w:pPr>
      <w:bookmarkStart w:id="8" w:name="_Toc11523"/>
    </w:p>
    <w:p>
      <w:pPr>
        <w:pStyle w:val="3"/>
        <w:keepNext w:val="0"/>
        <w:keepLines w:val="0"/>
        <w:pageBreakBefore w:val="0"/>
        <w:widowControl w:val="0"/>
        <w:kinsoku/>
        <w:wordWrap/>
        <w:overflowPunct/>
        <w:topLinePunct w:val="0"/>
        <w:bidi w:val="0"/>
        <w:spacing w:before="0" w:after="0" w:line="240" w:lineRule="auto"/>
        <w:jc w:val="both"/>
        <w:outlineLvl w:val="0"/>
        <w:rPr>
          <w:rStyle w:val="34"/>
          <w:rFonts w:hint="eastAsia"/>
          <w:b/>
          <w:bCs/>
          <w:sz w:val="36"/>
          <w:szCs w:val="36"/>
          <w:highlight w:val="none"/>
        </w:rPr>
      </w:pPr>
    </w:p>
    <w:p>
      <w:pPr>
        <w:keepNext w:val="0"/>
        <w:keepLines w:val="0"/>
        <w:pageBreakBefore w:val="0"/>
        <w:widowControl w:val="0"/>
        <w:kinsoku/>
        <w:wordWrap/>
        <w:overflowPunct/>
        <w:topLinePunct w:val="0"/>
        <w:bidi w:val="0"/>
        <w:rPr>
          <w:rStyle w:val="34"/>
          <w:rFonts w:hint="eastAsia"/>
          <w:b/>
          <w:bCs/>
          <w:sz w:val="36"/>
          <w:szCs w:val="36"/>
          <w:highlight w:val="none"/>
        </w:rPr>
      </w:pPr>
    </w:p>
    <w:p>
      <w:pPr>
        <w:pStyle w:val="7"/>
        <w:keepNext w:val="0"/>
        <w:keepLines w:val="0"/>
        <w:pageBreakBefore w:val="0"/>
        <w:widowControl w:val="0"/>
        <w:kinsoku/>
        <w:wordWrap/>
        <w:overflowPunct/>
        <w:topLinePunct w:val="0"/>
        <w:bidi w:val="0"/>
        <w:rPr>
          <w:rFonts w:hint="eastAsia"/>
          <w:highlight w:val="none"/>
        </w:rPr>
      </w:pPr>
    </w:p>
    <w:p>
      <w:pPr>
        <w:pStyle w:val="3"/>
        <w:bidi w:val="0"/>
        <w:jc w:val="center"/>
        <w:rPr>
          <w:highlight w:val="none"/>
        </w:rPr>
      </w:pPr>
      <w:r>
        <w:rPr>
          <w:rFonts w:hint="eastAsia"/>
          <w:highlight w:val="none"/>
        </w:rPr>
        <w:t>第六章  响应文件格式</w:t>
      </w:r>
      <w:bookmarkEnd w:id="8"/>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一、本章所制响应文件格式，除格式中明确将该格式作为实质性要求的，一律不具有强制性。</w:t>
      </w:r>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二、本章所制响应文件格式有关表格中的备注栏，由供应商根据自身响应情况作解释性说明，不作为必填项。</w:t>
      </w:r>
    </w:p>
    <w:p>
      <w:pPr>
        <w:pStyle w:val="29"/>
        <w:keepNext w:val="0"/>
        <w:keepLines w:val="0"/>
        <w:pageBreakBefore w:val="0"/>
        <w:widowControl w:val="0"/>
        <w:kinsoku/>
        <w:wordWrap/>
        <w:overflowPunct/>
        <w:topLinePunct w:val="0"/>
        <w:bidi w:val="0"/>
        <w:spacing w:line="594" w:lineRule="exact"/>
        <w:ind w:firstLine="320" w:firstLineChars="100"/>
        <w:jc w:val="both"/>
        <w:rPr>
          <w:rFonts w:ascii="宋体" w:hAnsi="宋体" w:eastAsia="宋体" w:cs="宋体"/>
          <w:b/>
          <w:sz w:val="32"/>
          <w:szCs w:val="32"/>
          <w:highlight w:val="none"/>
        </w:rPr>
      </w:pPr>
      <w:r>
        <w:rPr>
          <w:rFonts w:hint="eastAsia" w:ascii="仿宋" w:hAnsi="仿宋" w:eastAsia="仿宋"/>
          <w:sz w:val="32"/>
          <w:szCs w:val="32"/>
          <w:highlight w:val="none"/>
          <w:lang w:val="zh-CN"/>
        </w:rPr>
        <w:t>三、本章所制响应文件格式中需要填写的相关内容事项，可能会与本采购项目无关，在不改变响应文件原义、不影响本项目采购需求的情况下，供应商可以不予填写，但应当注明。</w:t>
      </w: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both"/>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（一）供应商廉洁承诺书</w:t>
      </w:r>
    </w:p>
    <w:p>
      <w:pPr>
        <w:keepNext w:val="0"/>
        <w:keepLines w:val="0"/>
        <w:pageBreakBefore w:val="0"/>
        <w:widowControl w:val="0"/>
        <w:kinsoku/>
        <w:wordWrap/>
        <w:overflowPunct/>
        <w:topLinePunct w:val="0"/>
        <w:bidi w:val="0"/>
        <w:spacing w:line="594" w:lineRule="exact"/>
        <w:rPr>
          <w:highlight w:val="none"/>
        </w:rPr>
      </w:pPr>
    </w:p>
    <w:p>
      <w:pPr>
        <w:keepNext w:val="0"/>
        <w:keepLines w:val="0"/>
        <w:pageBreakBefore w:val="0"/>
        <w:widowControl w:val="0"/>
        <w:kinsoku/>
        <w:wordWrap/>
        <w:overflowPunct/>
        <w:topLinePunct w:val="0"/>
        <w:bidi w:val="0"/>
        <w:spacing w:line="594" w:lineRule="exact"/>
        <w:rPr>
          <w:rFonts w:asciiTheme="minorEastAsia" w:hAnsiTheme="minorEastAsia"/>
          <w:sz w:val="24"/>
          <w:highlight w:val="none"/>
        </w:rPr>
      </w:pPr>
      <w:r>
        <w:rPr>
          <w:rFonts w:hint="eastAsia" w:asciiTheme="minorEastAsia" w:hAnsiTheme="minorEastAsia"/>
          <w:sz w:val="24"/>
          <w:highlight w:val="none"/>
        </w:rPr>
        <w:t>本企业参与</w:t>
      </w:r>
      <w:r>
        <w:rPr>
          <w:rFonts w:hint="eastAsia" w:cs="宋体" w:asciiTheme="minorEastAsia" w:hAnsiTheme="minorEastAsia"/>
          <w:bCs/>
          <w:kern w:val="36"/>
          <w:sz w:val="24"/>
          <w:highlight w:val="none"/>
          <w:u w:val="single"/>
        </w:rPr>
        <w:t xml:space="preserve">                     </w:t>
      </w:r>
      <w:r>
        <w:rPr>
          <w:rFonts w:hint="eastAsia" w:asciiTheme="minorEastAsia" w:hAnsiTheme="minorEastAsia"/>
          <w:sz w:val="24"/>
          <w:highlight w:val="none"/>
        </w:rPr>
        <w:t>项目的谈判活动，现郑重承诺：</w:t>
      </w:r>
    </w:p>
    <w:p>
      <w:pPr>
        <w:keepNext w:val="0"/>
        <w:keepLines w:val="0"/>
        <w:pageBreakBefore w:val="0"/>
        <w:widowControl w:val="0"/>
        <w:numPr>
          <w:ilvl w:val="0"/>
          <w:numId w:val="3"/>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不以任何方式向项目采购人员、中介人员、审批人员、监管人员、行业主管人员以及评标（评审）专家等行贿。</w:t>
      </w:r>
    </w:p>
    <w:p>
      <w:pPr>
        <w:keepNext w:val="0"/>
        <w:keepLines w:val="0"/>
        <w:pageBreakBefore w:val="0"/>
        <w:widowControl w:val="0"/>
        <w:numPr>
          <w:ilvl w:val="0"/>
          <w:numId w:val="3"/>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不以任何方式托人打招呼、求关照，搞利益结盟，腐蚀党和国家机关工作人员。</w:t>
      </w:r>
    </w:p>
    <w:p>
      <w:pPr>
        <w:keepNext w:val="0"/>
        <w:keepLines w:val="0"/>
        <w:pageBreakBefore w:val="0"/>
        <w:widowControl w:val="0"/>
        <w:kinsoku/>
        <w:wordWrap/>
        <w:overflowPunct/>
        <w:topLinePunct w:val="0"/>
        <w:bidi w:val="0"/>
        <w:spacing w:line="594" w:lineRule="exact"/>
        <w:ind w:left="709"/>
        <w:rPr>
          <w:rFonts w:asciiTheme="minorEastAsia" w:hAnsiTheme="minorEastAsia"/>
          <w:sz w:val="24"/>
          <w:highlight w:val="none"/>
        </w:rPr>
      </w:pPr>
      <w:r>
        <w:rPr>
          <w:rFonts w:hint="eastAsia" w:asciiTheme="minorEastAsia" w:hAnsiTheme="minorEastAsia"/>
          <w:sz w:val="24"/>
          <w:highlight w:val="none"/>
        </w:rPr>
        <w:t>以上承诺如有违反，请严肃处理，欢迎监督举报！</w:t>
      </w: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4800" w:firstLineChars="2000"/>
        <w:rPr>
          <w:rFonts w:asciiTheme="minorEastAsia" w:hAnsiTheme="minorEastAsia"/>
          <w:sz w:val="24"/>
          <w:highlight w:val="none"/>
        </w:rPr>
      </w:pPr>
      <w:r>
        <w:rPr>
          <w:rFonts w:hint="eastAsia" w:asciiTheme="minorEastAsia" w:hAnsiTheme="minorEastAsia"/>
          <w:sz w:val="24"/>
          <w:highlight w:val="none"/>
        </w:rPr>
        <w:t>供应商（盖章）：</w:t>
      </w:r>
    </w:p>
    <w:p>
      <w:pPr>
        <w:keepNext w:val="0"/>
        <w:keepLines w:val="0"/>
        <w:pageBreakBefore w:val="0"/>
        <w:widowControl w:val="0"/>
        <w:kinsoku/>
        <w:wordWrap/>
        <w:overflowPunct/>
        <w:topLinePunct w:val="0"/>
        <w:bidi w:val="0"/>
        <w:spacing w:line="594" w:lineRule="exact"/>
        <w:ind w:firstLine="2160" w:firstLineChars="900"/>
        <w:rPr>
          <w:rFonts w:asciiTheme="minorEastAsia" w:hAnsiTheme="minorEastAsia"/>
          <w:sz w:val="24"/>
          <w:highlight w:val="none"/>
        </w:rPr>
      </w:pPr>
      <w:r>
        <w:rPr>
          <w:rFonts w:hint="eastAsia" w:asciiTheme="minorEastAsia" w:hAnsiTheme="minorEastAsia"/>
          <w:sz w:val="24"/>
          <w:highlight w:val="none"/>
        </w:rPr>
        <w:t>法定代表人（负责人、经营者）或授权委托人（签字）：</w:t>
      </w:r>
    </w:p>
    <w:p>
      <w:pPr>
        <w:keepNext w:val="0"/>
        <w:keepLines w:val="0"/>
        <w:pageBreakBefore w:val="0"/>
        <w:widowControl w:val="0"/>
        <w:kinsoku/>
        <w:wordWrap/>
        <w:overflowPunct/>
        <w:topLinePunct w:val="0"/>
        <w:bidi w:val="0"/>
        <w:spacing w:line="594" w:lineRule="exact"/>
        <w:ind w:firstLine="5400" w:firstLineChars="2250"/>
        <w:rPr>
          <w:rFonts w:ascii="仿宋_GB2312" w:eastAsia="仿宋_GB2312"/>
          <w:sz w:val="32"/>
          <w:szCs w:val="32"/>
          <w:highlight w:val="none"/>
        </w:rPr>
        <w:sectPr>
          <w:footerReference r:id="rId7" w:type="default"/>
          <w:footerReference r:id="rId8" w:type="even"/>
          <w:pgSz w:w="11906" w:h="16838"/>
          <w:pgMar w:top="1440" w:right="1418" w:bottom="1440"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heme="minorEastAsia" w:hAnsiTheme="minorEastAsia"/>
          <w:sz w:val="24"/>
          <w:highlight w:val="none"/>
        </w:rPr>
        <w:t>年   月   日</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（二）法定代表人（负责人、经营者)身份证明</w:t>
      </w:r>
    </w:p>
    <w:p>
      <w:pPr>
        <w:keepNext w:val="0"/>
        <w:keepLines w:val="0"/>
        <w:pageBreakBefore w:val="0"/>
        <w:widowControl w:val="0"/>
        <w:kinsoku/>
        <w:wordWrap/>
        <w:overflowPunct/>
        <w:topLinePunct w:val="0"/>
        <w:bidi w:val="0"/>
        <w:spacing w:line="360" w:lineRule="auto"/>
        <w:jc w:val="left"/>
        <w:rPr>
          <w:rFonts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360" w:lineRule="auto"/>
        <w:ind w:firstLine="240" w:firstLineChars="1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单位性质：</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地    址：</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Cs w:val="21"/>
          <w:highlight w:val="none"/>
        </w:rPr>
      </w:pPr>
      <w:r>
        <w:rPr>
          <w:rFonts w:hint="eastAsia" w:ascii="宋体" w:hAnsi="宋体"/>
          <w:sz w:val="24"/>
          <w:highlight w:val="none"/>
        </w:rPr>
        <w:t xml:space="preserve">   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经营期限：</w:t>
      </w:r>
      <w:r>
        <w:rPr>
          <w:rFonts w:hint="eastAsia" w:ascii="宋体" w:hAnsi="宋体"/>
          <w:sz w:val="24"/>
          <w:highlight w:val="none"/>
          <w:u w:val="single"/>
        </w:rPr>
        <w:t xml:space="preserve">                                  </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u w:val="singl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姓名：</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（供应商名称）的法定代表人（负责人、经营者)（职务：</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r>
        <w:rPr>
          <w:rFonts w:hint="eastAsia" w:ascii="宋体" w:hAnsi="宋体"/>
          <w:sz w:val="24"/>
          <w:highlight w:val="none"/>
          <w:lang w:val="zh-CN"/>
        </w:rPr>
        <w:t xml:space="preserve">    特此证明。</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lang w:val="zh-CN"/>
        </w:rPr>
      </w:pPr>
      <w:r>
        <w:rPr>
          <w:rFonts w:ascii="宋体" w:hAnsi="宋体"/>
          <w:sz w:val="24"/>
          <w:highlight w:val="none"/>
          <w:lang w:val="zh-CN"/>
        </w:rPr>
        <w:t xml:space="preserve"> </w:t>
      </w:r>
      <w:r>
        <w:rPr>
          <w:rFonts w:hint="eastAsia" w:ascii="宋体" w:hAnsi="宋体"/>
          <w:sz w:val="24"/>
          <w:highlight w:val="none"/>
          <w:lang w:val="zh-CN"/>
        </w:rPr>
        <w:t xml:space="preserve">                       供应商名称：</w:t>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 xml:space="preserve">     </w:t>
      </w:r>
      <w:r>
        <w:rPr>
          <w:rFonts w:hint="eastAsia" w:ascii="宋体" w:hAnsi="宋体"/>
          <w:sz w:val="24"/>
          <w:highlight w:val="none"/>
          <w:u w:val="single"/>
          <w:lang w:val="zh-CN"/>
        </w:rPr>
        <w:t xml:space="preserve"> </w:t>
      </w:r>
      <w:r>
        <w:rPr>
          <w:rFonts w:hint="eastAsia" w:ascii="宋体" w:hAnsi="宋体"/>
          <w:sz w:val="24"/>
          <w:highlight w:val="none"/>
          <w:lang w:val="zh-CN"/>
        </w:rPr>
        <w:t>（盖公章）</w:t>
      </w:r>
    </w:p>
    <w:p>
      <w:pPr>
        <w:keepNext w:val="0"/>
        <w:keepLines w:val="0"/>
        <w:pageBreakBefore w:val="0"/>
        <w:widowControl w:val="0"/>
        <w:kinsoku/>
        <w:wordWrap/>
        <w:overflowPunct/>
        <w:topLinePunct w:val="0"/>
        <w:bidi w:val="0"/>
        <w:spacing w:line="360" w:lineRule="auto"/>
        <w:ind w:firstLine="480" w:firstLineChars="200"/>
        <w:jc w:val="left"/>
        <w:rPr>
          <w:rFonts w:ascii="宋体" w:hAnsi="宋体"/>
          <w:szCs w:val="21"/>
          <w:highlight w:val="none"/>
        </w:rPr>
      </w:pPr>
      <w:r>
        <w:rPr>
          <w:rFonts w:hint="eastAsia" w:ascii="宋体" w:hAnsi="宋体"/>
          <w:bCs/>
          <w:sz w:val="24"/>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pStyle w:val="4"/>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法定代表人（负责人、经营者)亲自参加而不委托代理人参加适用。</w:t>
      </w:r>
    </w:p>
    <w:p>
      <w:pPr>
        <w:pStyle w:val="4"/>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4"/>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授权书”中的“负责人”是指：若分公司参与投标时，分公司营业执照上的负责人；“法定代表人（负责人、经营者)授权书”中的“经营者”是指：若个体工商户参与谈判时，营业执照上的经营者姓名。</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（三）法定代表人（负责人、经营者)授权委托书</w:t>
      </w:r>
    </w:p>
    <w:p>
      <w:pPr>
        <w:keepNext w:val="0"/>
        <w:keepLines w:val="0"/>
        <w:pageBreakBefore w:val="0"/>
        <w:widowControl w:val="0"/>
        <w:kinsoku/>
        <w:wordWrap/>
        <w:overflowPunct/>
        <w:topLinePunct w:val="0"/>
        <w:bidi w:val="0"/>
        <w:spacing w:line="594" w:lineRule="exact"/>
        <w:jc w:val="center"/>
        <w:rPr>
          <w:rFonts w:ascii="仿宋_GB2312" w:hAnsi="宋体" w:eastAsia="仿宋_GB2312"/>
          <w:b/>
          <w:sz w:val="32"/>
          <w:szCs w:val="32"/>
          <w:highlight w:val="none"/>
        </w:rPr>
      </w:pP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r>
        <w:rPr>
          <w:rFonts w:hint="eastAsia" w:asciiTheme="minorEastAsia" w:hAnsiTheme="minorEastAsia"/>
          <w:sz w:val="24"/>
          <w:highlight w:val="none"/>
        </w:rPr>
        <w:t>德阳市精神卫生中心：</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本授权声明：</w:t>
      </w:r>
      <w:r>
        <w:rPr>
          <w:rFonts w:hint="eastAsia" w:asciiTheme="minorEastAsia" w:hAnsiTheme="minorEastAsia"/>
          <w:sz w:val="24"/>
          <w:highlight w:val="none"/>
          <w:u w:val="single"/>
        </w:rPr>
        <w:t>XXX</w:t>
      </w:r>
      <w:r>
        <w:rPr>
          <w:rFonts w:hint="eastAsia" w:asciiTheme="minorEastAsia" w:hAnsiTheme="minorEastAsia"/>
          <w:sz w:val="24"/>
          <w:highlight w:val="none"/>
        </w:rPr>
        <w:t>（单位名称）,</w:t>
      </w:r>
      <w:r>
        <w:rPr>
          <w:rFonts w:hint="eastAsia" w:asciiTheme="minorEastAsia" w:hAnsiTheme="minorEastAsia"/>
          <w:sz w:val="24"/>
          <w:highlight w:val="none"/>
          <w:u w:val="single"/>
        </w:rPr>
        <w:t>XXX</w:t>
      </w:r>
      <w:r>
        <w:rPr>
          <w:rFonts w:hint="eastAsia" w:asciiTheme="minorEastAsia" w:hAnsiTheme="minorEastAsia"/>
          <w:sz w:val="24"/>
          <w:highlight w:val="none"/>
        </w:rPr>
        <w:t>（法定代表人（负责人、经营者)姓名、职务）授权</w:t>
      </w:r>
      <w:r>
        <w:rPr>
          <w:rFonts w:hint="eastAsia" w:asciiTheme="minorEastAsia" w:hAnsiTheme="minorEastAsia"/>
          <w:sz w:val="24"/>
          <w:highlight w:val="none"/>
          <w:u w:val="single"/>
        </w:rPr>
        <w:t xml:space="preserve">XXX                   </w:t>
      </w:r>
      <w:r>
        <w:rPr>
          <w:rFonts w:hint="eastAsia" w:asciiTheme="minorEastAsia" w:hAnsiTheme="minorEastAsia"/>
          <w:sz w:val="24"/>
          <w:highlight w:val="none"/>
        </w:rPr>
        <w:t>（被授权人姓名、职务）为我方参加XXX项目采购活动的合法代表，以我方名义全权处理该项目有关采购、报价、签订合同以及执行合同等一切事宜。</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特此声明。</w:t>
      </w: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法定代表人（负责人、经营者）（签字或盖章）：XXX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授权代表签字：XXX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    期：XXX年XXX月XXX日</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pStyle w:val="4"/>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法定代表人（负责人、经营者)委托代理人参加适用。</w:t>
      </w:r>
    </w:p>
    <w:p>
      <w:pPr>
        <w:pStyle w:val="4"/>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须附法定代表人（负责人、经营者)和委托代理人身份证复印件（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4"/>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身份证明”中的“负责人”是指：若分公司参与谈判时，分公司营业执照上的负责人；“法定代表人（负责人、经营者)身份证明”中的“经营者”是指：若个体工商户参与谈判时，营业执照上的经营者姓名。</w:t>
      </w:r>
    </w:p>
    <w:p>
      <w:pPr>
        <w:pStyle w:val="4"/>
        <w:keepNext w:val="0"/>
        <w:keepLines w:val="0"/>
        <w:pageBreakBefore w:val="0"/>
        <w:widowControl w:val="0"/>
        <w:kinsoku/>
        <w:wordWrap/>
        <w:overflowPunct/>
        <w:topLinePunct w:val="0"/>
        <w:bidi w:val="0"/>
        <w:spacing w:before="0" w:after="0" w:line="240" w:lineRule="auto"/>
        <w:jc w:val="center"/>
        <w:rPr>
          <w:rFonts w:hint="eastAsia" w:asciiTheme="majorEastAsia" w:hAnsiTheme="majorEastAsia" w:eastAsiaTheme="majorEastAsia"/>
          <w:sz w:val="28"/>
          <w:highlight w:val="none"/>
        </w:rPr>
      </w:pPr>
    </w:p>
    <w:p>
      <w:pPr>
        <w:pStyle w:val="4"/>
        <w:keepNext w:val="0"/>
        <w:keepLines w:val="0"/>
        <w:pageBreakBefore w:val="0"/>
        <w:widowControl w:val="0"/>
        <w:kinsoku/>
        <w:wordWrap/>
        <w:overflowPunct/>
        <w:topLinePunct w:val="0"/>
        <w:bidi w:val="0"/>
        <w:spacing w:before="0" w:after="0" w:line="240" w:lineRule="auto"/>
        <w:jc w:val="center"/>
        <w:rPr>
          <w:rFonts w:ascii="宋体" w:hAnsi="宋体" w:eastAsia="宋体"/>
          <w:b w:val="0"/>
          <w:sz w:val="22"/>
          <w:highlight w:val="none"/>
          <w:lang w:val="zh-CN"/>
        </w:rPr>
      </w:pPr>
      <w:r>
        <w:rPr>
          <w:rFonts w:hint="eastAsia" w:asciiTheme="majorEastAsia" w:hAnsiTheme="majorEastAsia" w:eastAsiaTheme="majorEastAsia"/>
          <w:sz w:val="28"/>
          <w:highlight w:val="none"/>
        </w:rPr>
        <w:t>（四）承诺函</w:t>
      </w:r>
    </w:p>
    <w:p>
      <w:pPr>
        <w:keepNext w:val="0"/>
        <w:keepLines w:val="0"/>
        <w:pageBreakBefore w:val="0"/>
        <w:widowControl w:val="0"/>
        <w:kinsoku/>
        <w:wordWrap/>
        <w:overflowPunct/>
        <w:topLinePunct w:val="0"/>
        <w:bidi w:val="0"/>
        <w:spacing w:line="400" w:lineRule="exact"/>
        <w:jc w:val="left"/>
        <w:rPr>
          <w:rFonts w:ascii="宋体" w:hAnsi="宋体" w:eastAsia="宋体"/>
          <w:sz w:val="24"/>
          <w:highlight w:val="none"/>
        </w:rPr>
      </w:pPr>
      <w:r>
        <w:rPr>
          <w:rFonts w:hint="eastAsia" w:ascii="宋体" w:hAnsi="宋体" w:eastAsia="宋体"/>
          <w:sz w:val="24"/>
          <w:highlight w:val="none"/>
        </w:rPr>
        <w:t>德阳市精神卫生中心：</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我公司作为本次采购项目的供应商，根据谈判文件要求，现郑重承诺如下：</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一、具备本项目规定的条件：</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4、具有依法缴纳税收和社会保障资金的良好记录；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宋体"/>
          <w:sz w:val="24"/>
          <w:highlight w:val="none"/>
        </w:rPr>
      </w:pPr>
      <w:r>
        <w:rPr>
          <w:rFonts w:hint="eastAsia" w:ascii="宋体" w:hAnsi="宋体" w:eastAsia="宋体"/>
          <w:sz w:val="24"/>
          <w:highlight w:val="none"/>
        </w:rPr>
        <w:t>5、参加本次政购活动前三年内，在经营活动中没有重大违法记录；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Theme="minorEastAsia"/>
          <w:sz w:val="24"/>
          <w:highlight w:val="none"/>
          <w:lang w:val="en-US" w:eastAsia="zh-CN"/>
        </w:rPr>
      </w:pPr>
      <w:r>
        <w:rPr>
          <w:rFonts w:hint="eastAsia" w:ascii="宋体" w:hAnsi="宋体" w:eastAsia="宋体"/>
          <w:sz w:val="24"/>
          <w:highlight w:val="none"/>
          <w:lang w:val="en-US" w:eastAsia="zh-CN"/>
        </w:rPr>
        <w:t>6、</w:t>
      </w:r>
      <w:r>
        <w:rPr>
          <w:rFonts w:hint="eastAsia" w:ascii="宋体" w:hAnsi="宋体"/>
          <w:sz w:val="24"/>
          <w:highlight w:val="none"/>
        </w:rPr>
        <w:t>法律、行政法规规定的其他条件</w:t>
      </w:r>
      <w:r>
        <w:rPr>
          <w:rFonts w:hint="eastAsia" w:ascii="宋体" w:hAnsi="宋体"/>
          <w:sz w:val="24"/>
          <w:highlight w:val="none"/>
          <w:lang w:eastAsia="zh-CN"/>
        </w:rPr>
        <w:t>。</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二、完全接受和满足本邀请谈判文件中规定的实质性要求，如对谈判文件有异议，已经在递交响应文件截止时间届满前依法进行维权救济，不存在对谈判文件有异议的同时又参加谈判以求侥幸成交或者为实现其他非法目的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五、响应文件中提供的任何资料和响应承诺情况都是真实的、有效的、合法的。</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六、如果有记入诚信档案的失信行为，将在响应文件中全面如实反映。</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供应商记入诚信档案的且在有效期内的失信行为有</w:t>
      </w:r>
      <w:r>
        <w:rPr>
          <w:rFonts w:hint="eastAsia" w:ascii="宋体" w:hAnsi="宋体" w:eastAsia="宋体"/>
          <w:sz w:val="24"/>
          <w:highlight w:val="none"/>
          <w:u w:val="single"/>
        </w:rPr>
        <w:t xml:space="preserve">    </w:t>
      </w:r>
      <w:r>
        <w:rPr>
          <w:rFonts w:hint="eastAsia" w:ascii="宋体" w:hAnsi="宋体" w:eastAsia="宋体"/>
          <w:sz w:val="24"/>
          <w:highlight w:val="none"/>
        </w:rPr>
        <w:t>次。供应商截止至采购公告发布之日前一个工作日   （是/否）被列入“信用中国”网站(www.creditchina.gov.cn)、“中国政府采购网”网站(www.ccgp.gov.cn)、“四川政府采购”网站(曝光台)( www.ccgp-sichuan.gov.cn)中任一网站的失信被执行人名单或重大税收违法案件当事人名单或政府采购严重违法失信行为记录名单。</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法定代表人（负责人、经营者）签字或者加盖个人私章：XXXX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授权代表签字：XXXX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供应商名称：XXXX（盖章）</w:t>
      </w:r>
    </w:p>
    <w:p>
      <w:pPr>
        <w:keepNext w:val="0"/>
        <w:keepLines w:val="0"/>
        <w:pageBreakBefore w:val="0"/>
        <w:widowControl w:val="0"/>
        <w:kinsoku/>
        <w:wordWrap/>
        <w:overflowPunct/>
        <w:topLinePunct w:val="0"/>
        <w:bidi w:val="0"/>
        <w:spacing w:line="400" w:lineRule="exact"/>
        <w:ind w:firstLine="480" w:firstLineChars="200"/>
        <w:jc w:val="left"/>
        <w:rPr>
          <w:rFonts w:hint="eastAsia" w:asciiTheme="majorEastAsia" w:hAnsiTheme="majorEastAsia" w:eastAsiaTheme="majorEastAsia"/>
          <w:b/>
          <w:sz w:val="28"/>
          <w:szCs w:val="28"/>
          <w:highlight w:val="none"/>
        </w:rPr>
      </w:pPr>
      <w:r>
        <w:rPr>
          <w:rFonts w:hint="eastAsia" w:ascii="宋体" w:hAnsi="宋体" w:eastAsia="宋体"/>
          <w:sz w:val="24"/>
          <w:highlight w:val="none"/>
        </w:rPr>
        <w:t>日    期：XXX年XXX月XXX日</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（五）报价表</w:t>
      </w:r>
    </w:p>
    <w:p>
      <w:pPr>
        <w:keepNext w:val="0"/>
        <w:keepLines w:val="0"/>
        <w:pageBreakBefore w:val="0"/>
        <w:widowControl w:val="0"/>
        <w:kinsoku/>
        <w:wordWrap/>
        <w:overflowPunct/>
        <w:topLinePunct w:val="0"/>
        <w:bidi w:val="0"/>
        <w:spacing w:line="400" w:lineRule="exact"/>
        <w:ind w:firstLine="281" w:firstLineChars="100"/>
        <w:jc w:val="center"/>
        <w:rPr>
          <w:rFonts w:hint="eastAsia" w:ascii="宋体" w:hAnsi="宋体" w:eastAsia="宋体" w:cs="宋体"/>
          <w:color w:val="auto"/>
          <w:sz w:val="24"/>
          <w:highlight w:val="none"/>
        </w:rPr>
      </w:pPr>
      <w:r>
        <w:rPr>
          <w:rFonts w:hint="eastAsia" w:asciiTheme="majorEastAsia" w:hAnsiTheme="majorEastAsia" w:eastAsiaTheme="majorEastAsia"/>
          <w:b/>
          <w:sz w:val="28"/>
          <w:szCs w:val="28"/>
          <w:highlight w:val="none"/>
        </w:rPr>
        <w:t>（样本，格式自拟，报价包含采购文件要求所有项目）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385"/>
        <w:gridCol w:w="238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序号</w:t>
            </w:r>
          </w:p>
        </w:tc>
        <w:tc>
          <w:tcPr>
            <w:tcW w:w="23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名称</w:t>
            </w:r>
          </w:p>
        </w:tc>
        <w:tc>
          <w:tcPr>
            <w:tcW w:w="23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数量</w:t>
            </w:r>
          </w:p>
        </w:tc>
        <w:tc>
          <w:tcPr>
            <w:tcW w:w="255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1</w:t>
            </w:r>
          </w:p>
        </w:tc>
        <w:tc>
          <w:tcPr>
            <w:tcW w:w="23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救护车</w:t>
            </w:r>
          </w:p>
        </w:tc>
        <w:tc>
          <w:tcPr>
            <w:tcW w:w="23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sz w:val="24"/>
                <w:highlight w:val="none"/>
                <w:vertAlign w:val="baseline"/>
                <w:lang w:val="en-US" w:eastAsia="zh-CN"/>
              </w:rPr>
              <w:t>1</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sz w:val="24"/>
          <w:highlight w:val="none"/>
        </w:rPr>
      </w:pPr>
      <w:r>
        <w:rPr>
          <w:rFonts w:hint="eastAsia" w:asciiTheme="minorEastAsia" w:hAnsiTheme="minorEastAsia"/>
          <w:sz w:val="24"/>
          <w:highlight w:val="none"/>
        </w:rPr>
        <w:t>注：1、报价包括但不限于货物设计、材料、生产制造、配套设施设备、包装、运输、安装、调试、检测、培训、利润、税金、保险、车辆购置税、车辆保险及上户费用，采购人不再另外支付其他费用。</w:t>
      </w:r>
    </w:p>
    <w:p>
      <w:pPr>
        <w:numPr>
          <w:ilvl w:val="0"/>
          <w:numId w:val="0"/>
        </w:numPr>
        <w:spacing w:line="400" w:lineRule="exact"/>
        <w:ind w:leftChars="200"/>
        <w:jc w:val="left"/>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供应商报价时自行考虑相关费用。</w:t>
      </w:r>
    </w:p>
    <w:p>
      <w:pPr>
        <w:keepNext w:val="0"/>
        <w:keepLines w:val="0"/>
        <w:pageBreakBefore w:val="0"/>
        <w:widowControl w:val="0"/>
        <w:kinsoku/>
        <w:wordWrap/>
        <w:overflowPunct/>
        <w:topLinePunct w:val="0"/>
        <w:bidi w:val="0"/>
        <w:spacing w:line="360" w:lineRule="auto"/>
        <w:jc w:val="left"/>
        <w:rPr>
          <w:rFonts w:hint="eastAsia" w:ascii="宋体" w:hAnsi="宋体" w:eastAsia="宋体" w:cs="宋体"/>
          <w:b w:val="0"/>
          <w:bCs w:val="0"/>
          <w:color w:val="auto"/>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bookmarkStart w:id="9" w:name="_Toc436385991"/>
      <w:bookmarkStart w:id="10" w:name="_Toc427141347"/>
      <w:bookmarkStart w:id="11" w:name="_Toc436820889"/>
      <w:bookmarkStart w:id="12" w:name="_Toc428777949"/>
      <w:bookmarkStart w:id="13" w:name="_Toc436410128"/>
      <w:bookmarkStart w:id="14" w:name="_Toc436404119"/>
    </w:p>
    <w:bookmarkEnd w:id="9"/>
    <w:bookmarkEnd w:id="10"/>
    <w:bookmarkEnd w:id="11"/>
    <w:bookmarkEnd w:id="12"/>
    <w:bookmarkEnd w:id="13"/>
    <w:bookmarkEnd w:id="14"/>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spacing w:line="594" w:lineRule="exact"/>
        <w:ind w:firstLine="1920" w:firstLineChars="600"/>
        <w:rPr>
          <w:rFonts w:ascii="仿宋_GB2312" w:hAnsi="宋体" w:eastAsia="仿宋_GB2312"/>
          <w:kern w:val="44"/>
          <w:sz w:val="32"/>
          <w:szCs w:val="32"/>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spacing w:line="594" w:lineRule="exact"/>
        <w:ind w:firstLine="2249" w:firstLineChars="700"/>
        <w:rPr>
          <w:rFonts w:hint="eastAsia" w:asciiTheme="minorEastAsia" w:hAnsiTheme="minorEastAsia"/>
          <w:b/>
          <w:bCs/>
          <w:sz w:val="32"/>
          <w:szCs w:val="32"/>
          <w:highlight w:val="none"/>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both"/>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（六）中小企业声明函（如涉及）</w:t>
      </w:r>
    </w:p>
    <w:p>
      <w:pPr>
        <w:pStyle w:val="7"/>
        <w:keepNext w:val="0"/>
        <w:keepLines w:val="0"/>
        <w:pageBreakBefore w:val="0"/>
        <w:widowControl w:val="0"/>
        <w:kinsoku/>
        <w:wordWrap/>
        <w:overflowPunct/>
        <w:topLinePunct w:val="0"/>
        <w:bidi w:val="0"/>
        <w:spacing w:after="0" w:line="360" w:lineRule="auto"/>
        <w:ind w:right="415" w:firstLine="640"/>
        <w:jc w:val="left"/>
        <w:rPr>
          <w:rFonts w:ascii="宋体" w:hAnsi="宋体"/>
          <w:sz w:val="24"/>
          <w:highlight w:val="none"/>
        </w:rPr>
      </w:pPr>
      <w:r>
        <w:rPr>
          <w:rFonts w:hint="eastAsia" w:ascii="宋体" w:hAnsi="宋体" w:cs="宋体"/>
          <w:kern w:val="0"/>
          <w:sz w:val="24"/>
          <w:highlight w:val="none"/>
        </w:rPr>
        <w:t>　</w:t>
      </w:r>
      <w:r>
        <w:rPr>
          <w:rFonts w:hint="eastAsia" w:ascii="仿宋_GB2312" w:hAnsi="宋体" w:eastAsia="仿宋_GB2312" w:cs="宋体"/>
          <w:kern w:val="0"/>
          <w:sz w:val="32"/>
          <w:szCs w:val="32"/>
          <w:highlight w:val="none"/>
        </w:rPr>
        <w:t>　</w:t>
      </w:r>
      <w:r>
        <w:rPr>
          <w:rFonts w:hint="eastAsia" w:ascii="宋体" w:hAnsi="宋体" w:cs="仿宋"/>
          <w:sz w:val="24"/>
          <w:highlight w:val="none"/>
        </w:rPr>
        <w:t>本公司郑重声明，根据《政府采购促进中小企业发展管理办法》（财库﹝2020﹞46 号）的规定，本公司参加</w:t>
      </w:r>
      <w:r>
        <w:rPr>
          <w:rFonts w:hint="eastAsia" w:ascii="宋体" w:hAnsi="宋体" w:cs="仿宋"/>
          <w:sz w:val="24"/>
          <w:highlight w:val="none"/>
          <w:u w:val="single"/>
        </w:rPr>
        <w:t>（单位名称）</w:t>
      </w:r>
      <w:r>
        <w:rPr>
          <w:rFonts w:hint="eastAsia" w:ascii="宋体" w:hAnsi="宋体" w:cs="仿宋"/>
          <w:sz w:val="24"/>
          <w:highlight w:val="none"/>
        </w:rPr>
        <w:t>的</w:t>
      </w:r>
      <w:r>
        <w:rPr>
          <w:rFonts w:hint="eastAsia" w:ascii="宋体" w:hAnsi="宋体" w:cs="仿宋"/>
          <w:sz w:val="24"/>
          <w:highlight w:val="none"/>
          <w:u w:val="single"/>
        </w:rPr>
        <w:t>（项目名称）</w:t>
      </w:r>
      <w:r>
        <w:rPr>
          <w:rFonts w:hint="eastAsia" w:ascii="宋体" w:hAnsi="宋体" w:cs="仿宋"/>
          <w:sz w:val="24"/>
          <w:highlight w:val="none"/>
        </w:rPr>
        <w:t>采购活动，服务全部由符合政策要求的中小企业承接。相关企业的具体情况如下：</w:t>
      </w:r>
    </w:p>
    <w:p>
      <w:pPr>
        <w:pStyle w:val="28"/>
        <w:keepNext w:val="0"/>
        <w:keepLines w:val="0"/>
        <w:pageBreakBefore w:val="0"/>
        <w:widowControl w:val="0"/>
        <w:tabs>
          <w:tab w:val="left" w:pos="1183"/>
          <w:tab w:val="left" w:pos="1484"/>
          <w:tab w:val="left" w:pos="4662"/>
          <w:tab w:val="left" w:pos="6903"/>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 xml:space="preserve">1. </w:t>
      </w:r>
      <w:r>
        <w:rPr>
          <w:rFonts w:hint="eastAsia" w:ascii="宋体" w:hAnsi="宋体" w:cs="仿宋"/>
          <w:sz w:val="24"/>
          <w:highlight w:val="none"/>
          <w:u w:val="single"/>
        </w:rPr>
        <w:t>（</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lang w:val="zh-CN" w:bidi="zh-CN"/>
        </w:rPr>
        <w:t>属于</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lang w:bidi="zh-CN"/>
        </w:rPr>
        <w:t>（企业名称）</w:t>
      </w:r>
      <w:r>
        <w:rPr>
          <w:rFonts w:hint="eastAsia" w:ascii="宋体" w:hAnsi="宋体" w:cs="仿宋"/>
          <w:sz w:val="24"/>
          <w:highlight w:val="none"/>
          <w:lang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bidi="zh-CN"/>
        </w:rPr>
        <w:t>（中型企业、小型企业、微型企业）；</w:t>
      </w:r>
    </w:p>
    <w:p>
      <w:pPr>
        <w:pStyle w:val="28"/>
        <w:keepNext w:val="0"/>
        <w:keepLines w:val="0"/>
        <w:pageBreakBefore w:val="0"/>
        <w:widowControl w:val="0"/>
        <w:tabs>
          <w:tab w:val="left" w:pos="1165"/>
          <w:tab w:val="left" w:pos="1183"/>
          <w:tab w:val="left" w:pos="4362"/>
          <w:tab w:val="left" w:pos="6577"/>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2.</w:t>
      </w:r>
      <w:r>
        <w:rPr>
          <w:rFonts w:hint="eastAsia" w:ascii="宋体" w:hAnsi="宋体" w:cs="仿宋"/>
          <w:sz w:val="24"/>
          <w:highlight w:val="none"/>
          <w:u w:val="single"/>
        </w:rPr>
        <w:t xml:space="preserve"> （</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rPr>
        <w:t xml:space="preserve">属于 </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rPr>
        <w:t>（</w:t>
      </w:r>
      <w:r>
        <w:rPr>
          <w:rFonts w:hint="eastAsia" w:ascii="宋体" w:hAnsi="宋体" w:cs="仿宋"/>
          <w:sz w:val="24"/>
          <w:highlight w:val="none"/>
          <w:u w:val="single"/>
          <w:lang w:val="zh-CN" w:bidi="zh-CN"/>
        </w:rPr>
        <w:t>企业名称）</w:t>
      </w:r>
      <w:r>
        <w:rPr>
          <w:rFonts w:hint="eastAsia" w:ascii="宋体" w:hAnsi="宋体" w:cs="仿宋"/>
          <w:sz w:val="24"/>
          <w:highlight w:val="none"/>
          <w:lang w:val="zh-CN"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val="zh-CN" w:bidi="zh-CN"/>
        </w:rPr>
        <w:t>（中型企业、小</w:t>
      </w:r>
      <w:r>
        <w:rPr>
          <w:rFonts w:hint="eastAsia" w:ascii="宋体" w:hAnsi="宋体" w:cs="仿宋"/>
          <w:sz w:val="24"/>
          <w:highlight w:val="none"/>
          <w:u w:val="single"/>
          <w:lang w:bidi="zh-CN"/>
        </w:rPr>
        <w:t>型</w:t>
      </w:r>
      <w:r>
        <w:rPr>
          <w:rFonts w:hint="eastAsia" w:ascii="宋体" w:hAnsi="宋体" w:cs="仿宋"/>
          <w:sz w:val="24"/>
          <w:highlight w:val="none"/>
          <w:u w:val="single"/>
          <w:lang w:val="zh-CN" w:bidi="zh-CN"/>
        </w:rPr>
        <w:t>企业、微型企业）；</w:t>
      </w:r>
    </w:p>
    <w:p>
      <w:pPr>
        <w:pStyle w:val="7"/>
        <w:keepNext w:val="0"/>
        <w:keepLines w:val="0"/>
        <w:pageBreakBefore w:val="0"/>
        <w:widowControl w:val="0"/>
        <w:kinsoku/>
        <w:wordWrap/>
        <w:overflowPunct/>
        <w:topLinePunct w:val="0"/>
        <w:bidi w:val="0"/>
        <w:spacing w:after="0" w:line="360" w:lineRule="auto"/>
        <w:ind w:right="417"/>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right="417" w:firstLine="360" w:firstLineChars="150"/>
        <w:rPr>
          <w:rFonts w:ascii="宋体" w:hAnsi="宋体"/>
          <w:sz w:val="24"/>
          <w:highlight w:val="none"/>
        </w:rPr>
      </w:pPr>
      <w:r>
        <w:rPr>
          <w:rFonts w:hint="eastAsia" w:ascii="宋体" w:hAnsi="宋体" w:cs="仿宋"/>
          <w:sz w:val="24"/>
          <w:highlight w:val="none"/>
        </w:rPr>
        <w:t>以上企业，不属于大企业的分支机构，不存在控股股东为大企业的情形，也不存在与大企业的负责人为同一人的情形。</w:t>
      </w:r>
    </w:p>
    <w:p>
      <w:pPr>
        <w:pStyle w:val="7"/>
        <w:keepNext w:val="0"/>
        <w:keepLines w:val="0"/>
        <w:pageBreakBefore w:val="0"/>
        <w:widowControl w:val="0"/>
        <w:kinsoku/>
        <w:wordWrap/>
        <w:overflowPunct/>
        <w:topLinePunct w:val="0"/>
        <w:bidi w:val="0"/>
        <w:spacing w:after="0" w:line="360" w:lineRule="auto"/>
        <w:ind w:right="375" w:firstLine="480" w:firstLineChars="200"/>
        <w:rPr>
          <w:rFonts w:ascii="宋体" w:hAnsi="宋体"/>
          <w:sz w:val="24"/>
          <w:highlight w:val="none"/>
        </w:rPr>
      </w:pPr>
      <w:r>
        <w:rPr>
          <w:rFonts w:hint="eastAsia" w:ascii="宋体" w:hAnsi="宋体" w:cs="仿宋"/>
          <w:sz w:val="24"/>
          <w:highlight w:val="none"/>
        </w:rPr>
        <w:t>本企业对上述声明内容的真实性负责。如有虚假，将依法承担相应责任。</w:t>
      </w: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r>
        <w:rPr>
          <w:rFonts w:hint="eastAsia" w:ascii="宋体" w:hAnsi="宋体" w:cs="仿宋"/>
          <w:sz w:val="24"/>
          <w:highlight w:val="none"/>
        </w:rPr>
        <w:t>企业名称（盖章）：</w:t>
      </w:r>
    </w:p>
    <w:p>
      <w:pPr>
        <w:pStyle w:val="7"/>
        <w:keepNext w:val="0"/>
        <w:keepLines w:val="0"/>
        <w:pageBreakBefore w:val="0"/>
        <w:widowControl w:val="0"/>
        <w:kinsoku/>
        <w:wordWrap/>
        <w:overflowPunct/>
        <w:topLinePunct w:val="0"/>
        <w:bidi w:val="0"/>
        <w:spacing w:after="0" w:line="360" w:lineRule="auto"/>
        <w:ind w:left="4060" w:right="2166"/>
        <w:rPr>
          <w:rFonts w:ascii="宋体" w:hAnsi="宋体"/>
          <w:sz w:val="24"/>
          <w:highlight w:val="none"/>
        </w:rPr>
      </w:pPr>
      <w:r>
        <w:rPr>
          <w:rFonts w:hint="eastAsia" w:ascii="宋体" w:hAnsi="宋体" w:cs="仿宋"/>
          <w:sz w:val="24"/>
          <w:highlight w:val="none"/>
        </w:rPr>
        <w:t>日期:</w:t>
      </w: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rPr>
          <w:rFonts w:ascii="宋体" w:hAnsi="宋体"/>
          <w:sz w:val="24"/>
          <w:highlight w:val="none"/>
        </w:rPr>
      </w:pPr>
      <w:r>
        <w:rPr>
          <w:rFonts w:hint="eastAsia" w:ascii="宋体" w:hAnsi="宋体"/>
          <w:sz w:val="24"/>
          <w:highlight w:val="none"/>
        </w:rPr>
        <w:t>注:1、从业人员、营业收入、资产总额填报上一年度数据，无上一年度数据的新成立企业可不填报。</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sz w:val="24"/>
          <w:highlight w:val="none"/>
        </w:rPr>
      </w:pPr>
      <w:r>
        <w:rPr>
          <w:rFonts w:hint="eastAsia" w:ascii="宋体" w:hAnsi="宋体"/>
          <w:sz w:val="24"/>
          <w:highlight w:val="none"/>
        </w:rPr>
        <w:t>2、供应商为非小微企业的，可不提供此声明。</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ascii="宋体" w:hAnsi="宋体" w:cs="宋体"/>
          <w:kern w:val="0"/>
          <w:sz w:val="24"/>
          <w:highlight w:val="none"/>
        </w:rPr>
      </w:pPr>
      <w:r>
        <w:rPr>
          <w:rFonts w:hint="eastAsia" w:cs="Times New Roman" w:asciiTheme="majorEastAsia" w:hAnsiTheme="majorEastAsia" w:eastAsiaTheme="majorEastAsia"/>
          <w:b/>
          <w:bCs/>
          <w:kern w:val="2"/>
          <w:sz w:val="28"/>
          <w:szCs w:val="32"/>
          <w:highlight w:val="none"/>
          <w:lang w:val="en-US" w:eastAsia="zh-CN" w:bidi="ar-SA"/>
        </w:rPr>
        <w:t>（七）残疾人福利性单位声明函（如涉及）</w:t>
      </w:r>
    </w:p>
    <w:p>
      <w:pPr>
        <w:keepNext w:val="0"/>
        <w:keepLines w:val="0"/>
        <w:pageBreakBefore w:val="0"/>
        <w:widowControl w:val="0"/>
        <w:kinsoku/>
        <w:wordWrap/>
        <w:overflowPunct/>
        <w:topLinePunct w:val="0"/>
        <w:bidi w:val="0"/>
        <w:spacing w:line="360" w:lineRule="auto"/>
        <w:ind w:firstLine="504" w:firstLineChars="200"/>
        <w:jc w:val="left"/>
        <w:rPr>
          <w:rFonts w:ascii="宋体" w:hAnsi="宋体"/>
          <w:spacing w:val="6"/>
          <w:sz w:val="24"/>
          <w:highlight w:val="none"/>
        </w:rPr>
      </w:pPr>
      <w:r>
        <w:rPr>
          <w:rFonts w:hint="eastAsia" w:ascii="宋体" w:hAnsi="宋体"/>
          <w:spacing w:val="6"/>
          <w:sz w:val="24"/>
          <w:highlight w:val="none"/>
        </w:rPr>
        <w:t>本单位郑重声明，根据《财政部</w:t>
      </w:r>
      <w:r>
        <w:rPr>
          <w:rFonts w:ascii="宋体" w:hAnsi="宋体"/>
          <w:spacing w:val="6"/>
          <w:sz w:val="24"/>
          <w:highlight w:val="none"/>
        </w:rPr>
        <w:t xml:space="preserve"> </w:t>
      </w:r>
      <w:r>
        <w:rPr>
          <w:rFonts w:hint="eastAsia" w:ascii="宋体" w:hAnsi="宋体"/>
          <w:spacing w:val="6"/>
          <w:sz w:val="24"/>
          <w:highlight w:val="none"/>
        </w:rPr>
        <w:t>民政部</w:t>
      </w:r>
      <w:r>
        <w:rPr>
          <w:rFonts w:ascii="宋体" w:hAnsi="宋体"/>
          <w:spacing w:val="6"/>
          <w:sz w:val="24"/>
          <w:highlight w:val="none"/>
        </w:rPr>
        <w:t xml:space="preserve"> </w:t>
      </w:r>
      <w:r>
        <w:rPr>
          <w:rFonts w:hint="eastAsia" w:ascii="宋体" w:hAnsi="宋体"/>
          <w:spacing w:val="6"/>
          <w:sz w:val="24"/>
          <w:highlight w:val="none"/>
        </w:rPr>
        <w:t>中国残疾人联合会关于促进残疾人就业政府采购政策的通知》（财库</w:t>
      </w:r>
      <w:r>
        <w:rPr>
          <w:rFonts w:hint="eastAsia" w:ascii="宋体" w:hAnsi="宋体"/>
          <w:sz w:val="24"/>
          <w:highlight w:val="none"/>
        </w:rPr>
        <w:t>〔</w:t>
      </w:r>
      <w:r>
        <w:rPr>
          <w:rFonts w:ascii="宋体" w:hAnsi="宋体"/>
          <w:sz w:val="24"/>
          <w:highlight w:val="none"/>
        </w:rPr>
        <w:t>2017</w:t>
      </w:r>
      <w:r>
        <w:rPr>
          <w:rFonts w:hint="eastAsia" w:ascii="宋体" w:hAnsi="宋体"/>
          <w:sz w:val="24"/>
          <w:highlight w:val="none"/>
        </w:rPr>
        <w:t>〕</w:t>
      </w:r>
      <w:r>
        <w:rPr>
          <w:rFonts w:ascii="宋体" w:hAnsi="宋体"/>
          <w:sz w:val="24"/>
          <w:highlight w:val="none"/>
        </w:rPr>
        <w:t>141</w:t>
      </w:r>
      <w:r>
        <w:rPr>
          <w:rFonts w:hint="eastAsia" w:ascii="宋体" w:hAnsi="宋体"/>
          <w:spacing w:val="6"/>
          <w:sz w:val="24"/>
          <w:highlight w:val="none"/>
        </w:rPr>
        <w:t>号）的规定，本单位为符合条件的残疾人福利性单位，且本单位参加</w:t>
      </w:r>
      <w:r>
        <w:rPr>
          <w:rFonts w:ascii="宋体" w:hAnsi="宋体"/>
          <w:spacing w:val="6"/>
          <w:sz w:val="24"/>
          <w:highlight w:val="none"/>
        </w:rPr>
        <w:t>______</w:t>
      </w:r>
      <w:r>
        <w:rPr>
          <w:rFonts w:hint="eastAsia" w:ascii="宋体" w:hAnsi="宋体"/>
          <w:spacing w:val="6"/>
          <w:sz w:val="24"/>
          <w:highlight w:val="none"/>
        </w:rPr>
        <w:t>单位的</w:t>
      </w:r>
      <w:r>
        <w:rPr>
          <w:rFonts w:ascii="宋体" w:hAnsi="宋体"/>
          <w:spacing w:val="6"/>
          <w:sz w:val="24"/>
          <w:highlight w:val="none"/>
        </w:rPr>
        <w:t>______</w:t>
      </w:r>
      <w:r>
        <w:rPr>
          <w:rFonts w:hint="eastAsia" w:ascii="宋体" w:hAnsi="宋体"/>
          <w:spacing w:val="6"/>
          <w:sz w:val="24"/>
          <w:highlight w:val="none"/>
        </w:rPr>
        <w:t>项目采购活动提供本单位制造的</w:t>
      </w:r>
      <w:r>
        <w:rPr>
          <w:rFonts w:hint="eastAsia" w:ascii="宋体" w:hAnsi="宋体"/>
          <w:spacing w:val="6"/>
          <w:sz w:val="24"/>
          <w:highlight w:val="none"/>
          <w:lang w:val="en-US" w:eastAsia="zh-CN"/>
        </w:rPr>
        <w:t>服务</w:t>
      </w:r>
      <w:r>
        <w:rPr>
          <w:rFonts w:hint="eastAsia" w:ascii="宋体" w:hAnsi="宋体"/>
          <w:spacing w:val="6"/>
          <w:sz w:val="24"/>
          <w:highlight w:val="none"/>
        </w:rPr>
        <w:t>（由本单位承担工程</w:t>
      </w:r>
      <w:r>
        <w:rPr>
          <w:rFonts w:ascii="宋体" w:hAnsi="宋体"/>
          <w:spacing w:val="6"/>
          <w:sz w:val="24"/>
          <w:highlight w:val="none"/>
        </w:rPr>
        <w:t>/</w:t>
      </w:r>
      <w:r>
        <w:rPr>
          <w:rFonts w:hint="eastAsia" w:ascii="宋体" w:hAnsi="宋体"/>
          <w:spacing w:val="6"/>
          <w:sz w:val="24"/>
          <w:highlight w:val="none"/>
        </w:rPr>
        <w:t>提供</w:t>
      </w:r>
      <w:r>
        <w:rPr>
          <w:rFonts w:hint="eastAsia" w:ascii="宋体" w:hAnsi="宋体"/>
          <w:spacing w:val="6"/>
          <w:sz w:val="24"/>
          <w:highlight w:val="none"/>
          <w:lang w:val="en-US" w:eastAsia="zh-CN"/>
        </w:rPr>
        <w:t>货物</w:t>
      </w:r>
      <w:r>
        <w:rPr>
          <w:rFonts w:hint="eastAsia" w:ascii="宋体" w:hAnsi="宋体"/>
          <w:spacing w:val="6"/>
          <w:sz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pacing w:line="360" w:lineRule="auto"/>
        <w:ind w:firstLine="504" w:firstLineChars="200"/>
        <w:jc w:val="left"/>
        <w:rPr>
          <w:rFonts w:hint="eastAsia" w:ascii="宋体" w:hAnsi="宋体" w:cs="宋体"/>
          <w:kern w:val="0"/>
          <w:sz w:val="24"/>
          <w:highlight w:val="none"/>
        </w:rPr>
      </w:pPr>
      <w:r>
        <w:rPr>
          <w:rFonts w:hint="eastAsia" w:ascii="宋体" w:hAnsi="宋体"/>
          <w:spacing w:val="6"/>
          <w:sz w:val="24"/>
          <w:highlight w:val="none"/>
        </w:rPr>
        <w:t>本单位对上述声明的真实性负责。如有虚假，将依法承担相应责任。</w:t>
      </w: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单位名称：XXXX（盖单位公章）</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法定代表人或授权代表（签字）：XXXX</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日期：XXXX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cs="Times New Roman" w:asciiTheme="majorEastAsia" w:hAnsiTheme="majorEastAsia" w:eastAsiaTheme="majorEastAsia"/>
          <w:b/>
          <w:bCs/>
          <w:kern w:val="2"/>
          <w:sz w:val="28"/>
          <w:szCs w:val="32"/>
          <w:highlight w:val="none"/>
          <w:lang w:val="en-US" w:eastAsia="zh-CN" w:bidi="ar-SA"/>
        </w:rPr>
      </w:pPr>
    </w:p>
    <w:p>
      <w:pPr>
        <w:pStyle w:val="10"/>
        <w:keepNext w:val="0"/>
        <w:keepLines w:val="0"/>
        <w:pageBreakBefore w:val="0"/>
        <w:widowControl w:val="0"/>
        <w:tabs>
          <w:tab w:val="left" w:pos="0"/>
        </w:tabs>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（八）应答表</w:t>
      </w:r>
    </w:p>
    <w:p>
      <w:pPr>
        <w:pStyle w:val="13"/>
        <w:keepNext w:val="0"/>
        <w:keepLines w:val="0"/>
        <w:pageBreakBefore w:val="0"/>
        <w:widowControl w:val="0"/>
        <w:pBdr>
          <w:bottom w:val="none" w:color="auto" w:sz="0" w:space="0"/>
        </w:pBdr>
        <w:tabs>
          <w:tab w:val="clear" w:pos="4153"/>
          <w:tab w:val="clear" w:pos="8306"/>
        </w:tabs>
        <w:kinsoku/>
        <w:wordWrap/>
        <w:overflowPunct/>
        <w:topLinePunct w:val="0"/>
        <w:bidi w:val="0"/>
        <w:snapToGrid/>
        <w:ind w:firstLine="600" w:firstLineChars="250"/>
        <w:jc w:val="both"/>
        <w:rPr>
          <w:rFonts w:ascii="宋体" w:hAnsi="宋体"/>
          <w:sz w:val="24"/>
          <w:szCs w:val="24"/>
          <w:highlight w:val="none"/>
        </w:rPr>
      </w:pP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42"/>
        <w:gridCol w:w="269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序号</w:t>
            </w:r>
          </w:p>
        </w:tc>
        <w:tc>
          <w:tcPr>
            <w:tcW w:w="274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采购文件要求</w:t>
            </w:r>
          </w:p>
        </w:tc>
        <w:tc>
          <w:tcPr>
            <w:tcW w:w="2693"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响应文件响应</w:t>
            </w:r>
          </w:p>
        </w:tc>
        <w:tc>
          <w:tcPr>
            <w:tcW w:w="2127"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正（或负）偏离或完全响应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bl>
    <w:p>
      <w:pPr>
        <w:keepNext w:val="0"/>
        <w:keepLines w:val="0"/>
        <w:pageBreakBefore w:val="0"/>
        <w:widowControl w:val="0"/>
        <w:kinsoku/>
        <w:wordWrap/>
        <w:overflowPunct/>
        <w:topLinePunct w:val="0"/>
        <w:bidi w:val="0"/>
        <w:spacing w:line="360" w:lineRule="atLeast"/>
        <w:ind w:firstLine="470" w:firstLineChars="196"/>
        <w:jc w:val="left"/>
        <w:outlineLvl w:val="1"/>
        <w:rPr>
          <w:rFonts w:ascii="宋体" w:hAnsi="宋体"/>
          <w:b/>
          <w:sz w:val="24"/>
          <w:highlight w:val="none"/>
        </w:rPr>
      </w:pPr>
      <w:r>
        <w:rPr>
          <w:rFonts w:hint="eastAsia" w:ascii="宋体" w:hAnsi="宋体"/>
          <w:sz w:val="24"/>
          <w:highlight w:val="none"/>
        </w:rPr>
        <w:t>注：</w:t>
      </w:r>
      <w:r>
        <w:rPr>
          <w:rFonts w:hint="eastAsia" w:ascii="宋体" w:hAnsi="宋体" w:eastAsia="宋体" w:cs="宋体"/>
          <w:sz w:val="24"/>
          <w:highlight w:val="none"/>
        </w:rPr>
        <w:t>1、</w:t>
      </w:r>
      <w:r>
        <w:rPr>
          <w:rFonts w:hint="eastAsia" w:ascii="宋体" w:hAnsi="宋体"/>
          <w:b/>
          <w:sz w:val="24"/>
          <w:highlight w:val="none"/>
        </w:rPr>
        <w:t>除本</w:t>
      </w:r>
      <w:r>
        <w:rPr>
          <w:rFonts w:hint="eastAsia" w:ascii="宋体" w:hAnsi="宋体"/>
          <w:b/>
          <w:sz w:val="24"/>
          <w:highlight w:val="none"/>
          <w:lang w:val="en-US" w:eastAsia="zh-CN"/>
        </w:rPr>
        <w:t>应答</w:t>
      </w:r>
      <w:r>
        <w:rPr>
          <w:rFonts w:hint="eastAsia" w:ascii="宋体" w:hAnsi="宋体"/>
          <w:b/>
          <w:sz w:val="24"/>
          <w:highlight w:val="none"/>
        </w:rPr>
        <w:t>表所列的偏离应答外，</w:t>
      </w:r>
      <w:r>
        <w:rPr>
          <w:rFonts w:hint="eastAsia" w:ascii="宋体" w:hAnsi="宋体"/>
          <w:b/>
          <w:sz w:val="24"/>
          <w:highlight w:val="none"/>
          <w:lang w:eastAsia="zh-CN"/>
        </w:rPr>
        <w:t>供应商</w:t>
      </w:r>
      <w:r>
        <w:rPr>
          <w:rFonts w:hint="eastAsia" w:ascii="宋体" w:hAnsi="宋体"/>
          <w:b/>
          <w:sz w:val="24"/>
          <w:highlight w:val="none"/>
        </w:rPr>
        <w:t>其他所有条款均完全响应“招标文件”中</w:t>
      </w:r>
      <w:r>
        <w:rPr>
          <w:rFonts w:hint="eastAsia" w:ascii="宋体" w:hAnsi="宋体"/>
          <w:b/>
          <w:sz w:val="24"/>
          <w:highlight w:val="none"/>
          <w:lang w:val="en-US" w:eastAsia="zh-CN"/>
        </w:rPr>
        <w:t>的</w:t>
      </w:r>
      <w:r>
        <w:rPr>
          <w:rFonts w:hint="eastAsia" w:ascii="宋体" w:hAnsi="宋体"/>
          <w:b/>
          <w:sz w:val="24"/>
          <w:highlight w:val="none"/>
        </w:rPr>
        <w:t>要求，若未在上表中声明响应情况，视为完全响应不存在任何偏离。</w:t>
      </w:r>
    </w:p>
    <w:p>
      <w:pPr>
        <w:keepNext w:val="0"/>
        <w:keepLines w:val="0"/>
        <w:pageBreakBefore w:val="0"/>
        <w:widowControl w:val="0"/>
        <w:kinsoku/>
        <w:wordWrap/>
        <w:overflowPunct/>
        <w:topLinePunct w:val="0"/>
        <w:bidi w:val="0"/>
        <w:ind w:firstLine="720" w:firstLineChars="300"/>
        <w:rPr>
          <w:rFonts w:ascii="宋体" w:hAnsi="宋体" w:eastAsia="宋体" w:cs="宋体"/>
          <w:sz w:val="24"/>
          <w:highlight w:val="none"/>
        </w:rPr>
      </w:pPr>
      <w:r>
        <w:rPr>
          <w:rFonts w:hint="eastAsia" w:ascii="宋体" w:hAnsi="宋体" w:eastAsia="宋体" w:cs="宋体"/>
          <w:sz w:val="24"/>
          <w:highlight w:val="none"/>
        </w:rPr>
        <w:t>2、供应商必须根据本招标文件第</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章的要求据实填写，不得虚假响应，虚假响应的，其响应文件无效并按规定追究其相关责任。</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rPr>
          <w:rFonts w:ascii="仿宋_GB2312" w:hAnsi="宋体" w:eastAsia="仿宋_GB2312"/>
          <w:sz w:val="32"/>
          <w:szCs w:val="32"/>
          <w:highlight w:val="none"/>
        </w:rPr>
      </w:pPr>
    </w:p>
    <w:p>
      <w:pPr>
        <w:keepNext w:val="0"/>
        <w:keepLines w:val="0"/>
        <w:pageBreakBefore w:val="0"/>
        <w:widowControl w:val="0"/>
        <w:numPr>
          <w:ilvl w:val="0"/>
          <w:numId w:val="0"/>
        </w:numPr>
        <w:kinsoku/>
        <w:wordWrap/>
        <w:overflowPunct/>
        <w:topLinePunct w:val="0"/>
        <w:bidi w:val="0"/>
        <w:spacing w:line="594" w:lineRule="exact"/>
        <w:jc w:val="center"/>
        <w:rPr>
          <w:rFonts w:hint="default"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（九）其它响应文件，格式自拟</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ngLiU">
    <w:altName w:val="Microsoft JhengHei"/>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rPr>
        <w:rFonts w:asciiTheme="minorEastAsia" w:hAnsi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BE63B"/>
    <w:multiLevelType w:val="singleLevel"/>
    <w:tmpl w:val="99CBE63B"/>
    <w:lvl w:ilvl="0" w:tentative="0">
      <w:start w:val="2"/>
      <w:numFmt w:val="chineseCounting"/>
      <w:suff w:val="nothing"/>
      <w:lvlText w:val="%1、"/>
      <w:lvlJc w:val="left"/>
      <w:rPr>
        <w:rFonts w:hint="eastAsia"/>
      </w:rPr>
    </w:lvl>
  </w:abstractNum>
  <w:abstractNum w:abstractNumId="1">
    <w:nsid w:val="565D46DB"/>
    <w:multiLevelType w:val="singleLevel"/>
    <w:tmpl w:val="565D46DB"/>
    <w:lvl w:ilvl="0" w:tentative="0">
      <w:start w:val="1"/>
      <w:numFmt w:val="decimal"/>
      <w:pStyle w:val="22"/>
      <w:suff w:val="nothing"/>
      <w:lvlText w:val="%1、"/>
      <w:lvlJc w:val="left"/>
    </w:lvl>
  </w:abstractNum>
  <w:abstractNum w:abstractNumId="2">
    <w:nsid w:val="5AC86FB6"/>
    <w:multiLevelType w:val="multilevel"/>
    <w:tmpl w:val="5AC86FB6"/>
    <w:lvl w:ilvl="0" w:tentative="0">
      <w:start w:val="1"/>
      <w:numFmt w:val="japaneseCounting"/>
      <w:lvlText w:val="%1、"/>
      <w:lvlJc w:val="left"/>
      <w:pPr>
        <w:ind w:left="1429" w:hanging="720"/>
      </w:pPr>
      <w:rPr>
        <w:rFonts w:hint="default"/>
        <w:lang w:val="en-U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MWE1ODMzZmQxMzA1ZmZlMzVhNGFhYzdkZjMxNzMifQ=="/>
  </w:docVars>
  <w:rsids>
    <w:rsidRoot w:val="00926F60"/>
    <w:rsid w:val="00002C7E"/>
    <w:rsid w:val="0002119A"/>
    <w:rsid w:val="00022866"/>
    <w:rsid w:val="00032013"/>
    <w:rsid w:val="000359AF"/>
    <w:rsid w:val="00037047"/>
    <w:rsid w:val="00047AF4"/>
    <w:rsid w:val="00053427"/>
    <w:rsid w:val="00054F86"/>
    <w:rsid w:val="00056BE3"/>
    <w:rsid w:val="00060B01"/>
    <w:rsid w:val="00064AA0"/>
    <w:rsid w:val="0009159C"/>
    <w:rsid w:val="000B06C5"/>
    <w:rsid w:val="000D6723"/>
    <w:rsid w:val="000F18ED"/>
    <w:rsid w:val="000F1B6F"/>
    <w:rsid w:val="001037D4"/>
    <w:rsid w:val="00107252"/>
    <w:rsid w:val="001112CF"/>
    <w:rsid w:val="00112D1E"/>
    <w:rsid w:val="001242ED"/>
    <w:rsid w:val="00125EB1"/>
    <w:rsid w:val="001269C4"/>
    <w:rsid w:val="00131EC1"/>
    <w:rsid w:val="00137450"/>
    <w:rsid w:val="00145A90"/>
    <w:rsid w:val="001462DC"/>
    <w:rsid w:val="0015651D"/>
    <w:rsid w:val="001779C7"/>
    <w:rsid w:val="00183B66"/>
    <w:rsid w:val="00184153"/>
    <w:rsid w:val="00191D58"/>
    <w:rsid w:val="0019339D"/>
    <w:rsid w:val="001A5C80"/>
    <w:rsid w:val="001B7B5C"/>
    <w:rsid w:val="001C50D2"/>
    <w:rsid w:val="001D1FA1"/>
    <w:rsid w:val="001D4C22"/>
    <w:rsid w:val="001E05F5"/>
    <w:rsid w:val="001F3F91"/>
    <w:rsid w:val="00223A94"/>
    <w:rsid w:val="00224BCD"/>
    <w:rsid w:val="00234AA1"/>
    <w:rsid w:val="00235144"/>
    <w:rsid w:val="00252DEB"/>
    <w:rsid w:val="00257685"/>
    <w:rsid w:val="0026007E"/>
    <w:rsid w:val="00260796"/>
    <w:rsid w:val="00277DB2"/>
    <w:rsid w:val="00280C98"/>
    <w:rsid w:val="00286B41"/>
    <w:rsid w:val="002D18A1"/>
    <w:rsid w:val="002E2AEA"/>
    <w:rsid w:val="002E36AD"/>
    <w:rsid w:val="002E7F97"/>
    <w:rsid w:val="003041AA"/>
    <w:rsid w:val="00305E28"/>
    <w:rsid w:val="003235A1"/>
    <w:rsid w:val="00341E39"/>
    <w:rsid w:val="00344173"/>
    <w:rsid w:val="003663CA"/>
    <w:rsid w:val="00375660"/>
    <w:rsid w:val="00387B0A"/>
    <w:rsid w:val="003A1A6E"/>
    <w:rsid w:val="003C1686"/>
    <w:rsid w:val="003D1E7E"/>
    <w:rsid w:val="003E53B4"/>
    <w:rsid w:val="00404023"/>
    <w:rsid w:val="004063B4"/>
    <w:rsid w:val="004105B6"/>
    <w:rsid w:val="00414A4C"/>
    <w:rsid w:val="00416977"/>
    <w:rsid w:val="00416EE1"/>
    <w:rsid w:val="0042039A"/>
    <w:rsid w:val="004212A7"/>
    <w:rsid w:val="00424805"/>
    <w:rsid w:val="00426170"/>
    <w:rsid w:val="0044284E"/>
    <w:rsid w:val="00443F2B"/>
    <w:rsid w:val="004655D8"/>
    <w:rsid w:val="00467ABF"/>
    <w:rsid w:val="00470F7D"/>
    <w:rsid w:val="00473E92"/>
    <w:rsid w:val="004958B9"/>
    <w:rsid w:val="00497EB5"/>
    <w:rsid w:val="004A18D0"/>
    <w:rsid w:val="004A7D4F"/>
    <w:rsid w:val="004B6755"/>
    <w:rsid w:val="004B7E55"/>
    <w:rsid w:val="004C1F45"/>
    <w:rsid w:val="004C7682"/>
    <w:rsid w:val="004E3BCA"/>
    <w:rsid w:val="00500F02"/>
    <w:rsid w:val="0050465D"/>
    <w:rsid w:val="00510A13"/>
    <w:rsid w:val="00525ED8"/>
    <w:rsid w:val="005319F0"/>
    <w:rsid w:val="005438F9"/>
    <w:rsid w:val="0056289B"/>
    <w:rsid w:val="005772D1"/>
    <w:rsid w:val="00580F71"/>
    <w:rsid w:val="00585DA1"/>
    <w:rsid w:val="005939A7"/>
    <w:rsid w:val="00597F36"/>
    <w:rsid w:val="005A4A70"/>
    <w:rsid w:val="005A5644"/>
    <w:rsid w:val="005A7790"/>
    <w:rsid w:val="005B18B5"/>
    <w:rsid w:val="005B54FA"/>
    <w:rsid w:val="005B5C1D"/>
    <w:rsid w:val="005F1A38"/>
    <w:rsid w:val="005F7D52"/>
    <w:rsid w:val="006055AE"/>
    <w:rsid w:val="0060626C"/>
    <w:rsid w:val="0063464D"/>
    <w:rsid w:val="00635139"/>
    <w:rsid w:val="00636FF6"/>
    <w:rsid w:val="00640377"/>
    <w:rsid w:val="00641712"/>
    <w:rsid w:val="00642F7A"/>
    <w:rsid w:val="0066121E"/>
    <w:rsid w:val="0066357F"/>
    <w:rsid w:val="00667489"/>
    <w:rsid w:val="00667783"/>
    <w:rsid w:val="0068086C"/>
    <w:rsid w:val="00681D74"/>
    <w:rsid w:val="00691001"/>
    <w:rsid w:val="006A0F94"/>
    <w:rsid w:val="006A45FC"/>
    <w:rsid w:val="006A5321"/>
    <w:rsid w:val="006A5D84"/>
    <w:rsid w:val="006A7C3F"/>
    <w:rsid w:val="006C1D60"/>
    <w:rsid w:val="006D0852"/>
    <w:rsid w:val="006D2D48"/>
    <w:rsid w:val="006D6A0E"/>
    <w:rsid w:val="006D760D"/>
    <w:rsid w:val="006E2FA6"/>
    <w:rsid w:val="006F01EA"/>
    <w:rsid w:val="006F2965"/>
    <w:rsid w:val="006F341F"/>
    <w:rsid w:val="006F4612"/>
    <w:rsid w:val="006F7430"/>
    <w:rsid w:val="007016E5"/>
    <w:rsid w:val="0070184B"/>
    <w:rsid w:val="007108D5"/>
    <w:rsid w:val="00725521"/>
    <w:rsid w:val="00731A19"/>
    <w:rsid w:val="007320A0"/>
    <w:rsid w:val="00741CC2"/>
    <w:rsid w:val="00741F9F"/>
    <w:rsid w:val="00766DDD"/>
    <w:rsid w:val="007779DF"/>
    <w:rsid w:val="007B6BB2"/>
    <w:rsid w:val="007C16A5"/>
    <w:rsid w:val="007C34A0"/>
    <w:rsid w:val="007C7BCA"/>
    <w:rsid w:val="007E58D2"/>
    <w:rsid w:val="007E72D8"/>
    <w:rsid w:val="00815807"/>
    <w:rsid w:val="00823F95"/>
    <w:rsid w:val="008438E4"/>
    <w:rsid w:val="00844D01"/>
    <w:rsid w:val="008456F9"/>
    <w:rsid w:val="00855226"/>
    <w:rsid w:val="00876227"/>
    <w:rsid w:val="00894FEE"/>
    <w:rsid w:val="008A73F7"/>
    <w:rsid w:val="008B3442"/>
    <w:rsid w:val="008B79A5"/>
    <w:rsid w:val="008C52EF"/>
    <w:rsid w:val="008E7922"/>
    <w:rsid w:val="00911723"/>
    <w:rsid w:val="00914BB7"/>
    <w:rsid w:val="00916459"/>
    <w:rsid w:val="0092105B"/>
    <w:rsid w:val="00925FD2"/>
    <w:rsid w:val="00926F60"/>
    <w:rsid w:val="009413FA"/>
    <w:rsid w:val="00941A57"/>
    <w:rsid w:val="00944FE4"/>
    <w:rsid w:val="00945BCD"/>
    <w:rsid w:val="0095069D"/>
    <w:rsid w:val="009566DA"/>
    <w:rsid w:val="00965BB7"/>
    <w:rsid w:val="00970D9D"/>
    <w:rsid w:val="00972880"/>
    <w:rsid w:val="00975E18"/>
    <w:rsid w:val="00984AFB"/>
    <w:rsid w:val="009A1ED9"/>
    <w:rsid w:val="009E78F8"/>
    <w:rsid w:val="009F35DB"/>
    <w:rsid w:val="009F4313"/>
    <w:rsid w:val="00A0084B"/>
    <w:rsid w:val="00A0272C"/>
    <w:rsid w:val="00A06908"/>
    <w:rsid w:val="00A1754B"/>
    <w:rsid w:val="00A2330F"/>
    <w:rsid w:val="00A31B24"/>
    <w:rsid w:val="00A3240D"/>
    <w:rsid w:val="00A3484A"/>
    <w:rsid w:val="00A422D6"/>
    <w:rsid w:val="00A42D74"/>
    <w:rsid w:val="00A435A8"/>
    <w:rsid w:val="00A513FE"/>
    <w:rsid w:val="00A57CBB"/>
    <w:rsid w:val="00A6782E"/>
    <w:rsid w:val="00A717CF"/>
    <w:rsid w:val="00A94F57"/>
    <w:rsid w:val="00AA3A54"/>
    <w:rsid w:val="00AA3C3A"/>
    <w:rsid w:val="00AB09B7"/>
    <w:rsid w:val="00AB4687"/>
    <w:rsid w:val="00AB5784"/>
    <w:rsid w:val="00AC1B30"/>
    <w:rsid w:val="00AC4AF1"/>
    <w:rsid w:val="00AD1FEE"/>
    <w:rsid w:val="00AD4A86"/>
    <w:rsid w:val="00AD54AD"/>
    <w:rsid w:val="00AD6934"/>
    <w:rsid w:val="00AE1A1B"/>
    <w:rsid w:val="00B01561"/>
    <w:rsid w:val="00B06F61"/>
    <w:rsid w:val="00B12DE1"/>
    <w:rsid w:val="00B16049"/>
    <w:rsid w:val="00B221B8"/>
    <w:rsid w:val="00B25E30"/>
    <w:rsid w:val="00B3044B"/>
    <w:rsid w:val="00B55EF3"/>
    <w:rsid w:val="00B60E88"/>
    <w:rsid w:val="00B63952"/>
    <w:rsid w:val="00B7654E"/>
    <w:rsid w:val="00B773E0"/>
    <w:rsid w:val="00B84050"/>
    <w:rsid w:val="00BA2279"/>
    <w:rsid w:val="00BB4983"/>
    <w:rsid w:val="00BC64DC"/>
    <w:rsid w:val="00BD2E7A"/>
    <w:rsid w:val="00BE5284"/>
    <w:rsid w:val="00C05759"/>
    <w:rsid w:val="00C21EF1"/>
    <w:rsid w:val="00C4008B"/>
    <w:rsid w:val="00C40C2E"/>
    <w:rsid w:val="00C421A6"/>
    <w:rsid w:val="00C465FD"/>
    <w:rsid w:val="00C47278"/>
    <w:rsid w:val="00C62214"/>
    <w:rsid w:val="00C623E0"/>
    <w:rsid w:val="00C67D0B"/>
    <w:rsid w:val="00C87307"/>
    <w:rsid w:val="00CA01C4"/>
    <w:rsid w:val="00CB7098"/>
    <w:rsid w:val="00CC07CF"/>
    <w:rsid w:val="00CC091B"/>
    <w:rsid w:val="00CD0F26"/>
    <w:rsid w:val="00CD3AD9"/>
    <w:rsid w:val="00CE4E99"/>
    <w:rsid w:val="00CE521B"/>
    <w:rsid w:val="00CE5379"/>
    <w:rsid w:val="00CF36DC"/>
    <w:rsid w:val="00D00802"/>
    <w:rsid w:val="00D04E9B"/>
    <w:rsid w:val="00D04FF2"/>
    <w:rsid w:val="00D11F13"/>
    <w:rsid w:val="00D121A0"/>
    <w:rsid w:val="00D13C07"/>
    <w:rsid w:val="00D21343"/>
    <w:rsid w:val="00D314A7"/>
    <w:rsid w:val="00D361CE"/>
    <w:rsid w:val="00D4039A"/>
    <w:rsid w:val="00D40657"/>
    <w:rsid w:val="00D520EF"/>
    <w:rsid w:val="00D52B32"/>
    <w:rsid w:val="00D61E3A"/>
    <w:rsid w:val="00D74372"/>
    <w:rsid w:val="00D8243C"/>
    <w:rsid w:val="00D8244C"/>
    <w:rsid w:val="00D82690"/>
    <w:rsid w:val="00DD00E0"/>
    <w:rsid w:val="00DD0547"/>
    <w:rsid w:val="00DD156C"/>
    <w:rsid w:val="00DD6962"/>
    <w:rsid w:val="00DD778D"/>
    <w:rsid w:val="00DE2DE8"/>
    <w:rsid w:val="00DE479C"/>
    <w:rsid w:val="00DF0ED0"/>
    <w:rsid w:val="00DF1C36"/>
    <w:rsid w:val="00DF4E5D"/>
    <w:rsid w:val="00E0543C"/>
    <w:rsid w:val="00E1479D"/>
    <w:rsid w:val="00E14E3F"/>
    <w:rsid w:val="00E3507F"/>
    <w:rsid w:val="00E42C59"/>
    <w:rsid w:val="00E710CA"/>
    <w:rsid w:val="00E80B61"/>
    <w:rsid w:val="00E87122"/>
    <w:rsid w:val="00EA09B2"/>
    <w:rsid w:val="00EA146C"/>
    <w:rsid w:val="00EB2F23"/>
    <w:rsid w:val="00EB549B"/>
    <w:rsid w:val="00EC1BB5"/>
    <w:rsid w:val="00EC46EF"/>
    <w:rsid w:val="00ED3573"/>
    <w:rsid w:val="00ED38C7"/>
    <w:rsid w:val="00EE3142"/>
    <w:rsid w:val="00EE5B28"/>
    <w:rsid w:val="00EE7F4A"/>
    <w:rsid w:val="00EF2CAE"/>
    <w:rsid w:val="00F01C32"/>
    <w:rsid w:val="00F07501"/>
    <w:rsid w:val="00F075DC"/>
    <w:rsid w:val="00F10138"/>
    <w:rsid w:val="00F26AD2"/>
    <w:rsid w:val="00F33244"/>
    <w:rsid w:val="00F5240A"/>
    <w:rsid w:val="00F64D59"/>
    <w:rsid w:val="00F701B9"/>
    <w:rsid w:val="00F70FCF"/>
    <w:rsid w:val="00F762A3"/>
    <w:rsid w:val="00F812F3"/>
    <w:rsid w:val="00F81FE3"/>
    <w:rsid w:val="00F96D18"/>
    <w:rsid w:val="00F97719"/>
    <w:rsid w:val="00FA2789"/>
    <w:rsid w:val="00FA45E1"/>
    <w:rsid w:val="00FA5DFA"/>
    <w:rsid w:val="00FB35FA"/>
    <w:rsid w:val="00FB664B"/>
    <w:rsid w:val="00FB6CEA"/>
    <w:rsid w:val="00FB716E"/>
    <w:rsid w:val="00FC2E79"/>
    <w:rsid w:val="00FC531A"/>
    <w:rsid w:val="00FC73BD"/>
    <w:rsid w:val="00FD24BF"/>
    <w:rsid w:val="00FD4D19"/>
    <w:rsid w:val="00FF2A45"/>
    <w:rsid w:val="00FF743D"/>
    <w:rsid w:val="01923844"/>
    <w:rsid w:val="020421C9"/>
    <w:rsid w:val="02462876"/>
    <w:rsid w:val="02A23B1B"/>
    <w:rsid w:val="02F30375"/>
    <w:rsid w:val="035D4597"/>
    <w:rsid w:val="05253232"/>
    <w:rsid w:val="05B403D0"/>
    <w:rsid w:val="06293F34"/>
    <w:rsid w:val="0699055C"/>
    <w:rsid w:val="070C0763"/>
    <w:rsid w:val="09A8306C"/>
    <w:rsid w:val="09B21CEB"/>
    <w:rsid w:val="09F87245"/>
    <w:rsid w:val="0A3A26C3"/>
    <w:rsid w:val="0AF1497F"/>
    <w:rsid w:val="0B9B2395"/>
    <w:rsid w:val="0BE40425"/>
    <w:rsid w:val="0BFF3C7D"/>
    <w:rsid w:val="0C320FB7"/>
    <w:rsid w:val="0C75275A"/>
    <w:rsid w:val="0D250748"/>
    <w:rsid w:val="0D2C6860"/>
    <w:rsid w:val="110C2251"/>
    <w:rsid w:val="114E77D2"/>
    <w:rsid w:val="118F1EDD"/>
    <w:rsid w:val="126F29F9"/>
    <w:rsid w:val="12D4696F"/>
    <w:rsid w:val="141232C8"/>
    <w:rsid w:val="15236361"/>
    <w:rsid w:val="153E14C2"/>
    <w:rsid w:val="1602697A"/>
    <w:rsid w:val="17D02D06"/>
    <w:rsid w:val="1A3648C5"/>
    <w:rsid w:val="1C03515C"/>
    <w:rsid w:val="1C170038"/>
    <w:rsid w:val="1CA26951"/>
    <w:rsid w:val="1CB42859"/>
    <w:rsid w:val="1D251026"/>
    <w:rsid w:val="1D7E4BDE"/>
    <w:rsid w:val="1D9D4B4D"/>
    <w:rsid w:val="1EEA717E"/>
    <w:rsid w:val="1EEC63A4"/>
    <w:rsid w:val="20D45EB4"/>
    <w:rsid w:val="21DB47CF"/>
    <w:rsid w:val="22837AA1"/>
    <w:rsid w:val="228A3D88"/>
    <w:rsid w:val="24511928"/>
    <w:rsid w:val="24645381"/>
    <w:rsid w:val="24DE4AF8"/>
    <w:rsid w:val="260C0E70"/>
    <w:rsid w:val="261B630A"/>
    <w:rsid w:val="28A7596A"/>
    <w:rsid w:val="2A4F4AE0"/>
    <w:rsid w:val="2AF93168"/>
    <w:rsid w:val="2B2F7FE6"/>
    <w:rsid w:val="2E8157DC"/>
    <w:rsid w:val="2F3D2779"/>
    <w:rsid w:val="347C66BD"/>
    <w:rsid w:val="3497286B"/>
    <w:rsid w:val="3562508F"/>
    <w:rsid w:val="35E456FA"/>
    <w:rsid w:val="372B5261"/>
    <w:rsid w:val="3A666D99"/>
    <w:rsid w:val="3AC40AFD"/>
    <w:rsid w:val="3B411308"/>
    <w:rsid w:val="3BA669FA"/>
    <w:rsid w:val="3C926E07"/>
    <w:rsid w:val="3D583924"/>
    <w:rsid w:val="3E8A0808"/>
    <w:rsid w:val="3FFC7797"/>
    <w:rsid w:val="402C3DD7"/>
    <w:rsid w:val="406B3F1F"/>
    <w:rsid w:val="4086576B"/>
    <w:rsid w:val="43267243"/>
    <w:rsid w:val="433E4728"/>
    <w:rsid w:val="443D6B1D"/>
    <w:rsid w:val="45A7417B"/>
    <w:rsid w:val="462A4275"/>
    <w:rsid w:val="482A1A6E"/>
    <w:rsid w:val="482C40E3"/>
    <w:rsid w:val="49275B1D"/>
    <w:rsid w:val="4A394D65"/>
    <w:rsid w:val="4AF8202C"/>
    <w:rsid w:val="4B6503AA"/>
    <w:rsid w:val="4B934C1C"/>
    <w:rsid w:val="4C050010"/>
    <w:rsid w:val="4E213852"/>
    <w:rsid w:val="4ED9366C"/>
    <w:rsid w:val="508E5570"/>
    <w:rsid w:val="526C3211"/>
    <w:rsid w:val="52A6725F"/>
    <w:rsid w:val="54355B3D"/>
    <w:rsid w:val="54AB2436"/>
    <w:rsid w:val="54B35C95"/>
    <w:rsid w:val="58A32B1F"/>
    <w:rsid w:val="59016155"/>
    <w:rsid w:val="5A447A54"/>
    <w:rsid w:val="5CAF6C3F"/>
    <w:rsid w:val="5EE84FBA"/>
    <w:rsid w:val="5F0B0331"/>
    <w:rsid w:val="6086625A"/>
    <w:rsid w:val="613C04CA"/>
    <w:rsid w:val="61495E11"/>
    <w:rsid w:val="62115058"/>
    <w:rsid w:val="62994007"/>
    <w:rsid w:val="644E50E1"/>
    <w:rsid w:val="65545AA7"/>
    <w:rsid w:val="657578D4"/>
    <w:rsid w:val="667E3871"/>
    <w:rsid w:val="672E678F"/>
    <w:rsid w:val="67B83316"/>
    <w:rsid w:val="680D7C43"/>
    <w:rsid w:val="686F7EB0"/>
    <w:rsid w:val="68D0468F"/>
    <w:rsid w:val="6A7130CF"/>
    <w:rsid w:val="6A9D0A39"/>
    <w:rsid w:val="6A9F46EA"/>
    <w:rsid w:val="6B8929C6"/>
    <w:rsid w:val="6BEE5B40"/>
    <w:rsid w:val="6C4C2597"/>
    <w:rsid w:val="6C78222A"/>
    <w:rsid w:val="6CC014CC"/>
    <w:rsid w:val="6D6F2138"/>
    <w:rsid w:val="6DC92605"/>
    <w:rsid w:val="6E276A0D"/>
    <w:rsid w:val="7114547A"/>
    <w:rsid w:val="711C6ABC"/>
    <w:rsid w:val="716D3CA6"/>
    <w:rsid w:val="719302C1"/>
    <w:rsid w:val="72AE1032"/>
    <w:rsid w:val="72CC62B5"/>
    <w:rsid w:val="734F1EEB"/>
    <w:rsid w:val="753A0EF4"/>
    <w:rsid w:val="787F0EF1"/>
    <w:rsid w:val="79AA3A77"/>
    <w:rsid w:val="7C2B375B"/>
    <w:rsid w:val="7CE96CFD"/>
    <w:rsid w:val="7CF360EF"/>
    <w:rsid w:val="7D3E11A2"/>
    <w:rsid w:val="7D9A73E1"/>
    <w:rsid w:val="7EA6104A"/>
    <w:rsid w:val="7F92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rFonts w:ascii="Times New Roman" w:hAnsi="Times New Roman" w:eastAsia="宋体" w:cs="Times New Roman"/>
      <w:b/>
      <w:bCs/>
      <w:kern w:val="44"/>
      <w:sz w:val="36"/>
      <w:szCs w:val="44"/>
    </w:rPr>
  </w:style>
  <w:style w:type="paragraph" w:styleId="4">
    <w:name w:val="heading 2"/>
    <w:basedOn w:val="1"/>
    <w:next w:val="1"/>
    <w:link w:val="3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5">
    <w:name w:val="List 3"/>
    <w:basedOn w:val="1"/>
    <w:autoRedefine/>
    <w:qFormat/>
    <w:uiPriority w:val="99"/>
    <w:pPr>
      <w:ind w:left="100" w:leftChars="400" w:hanging="200" w:hangingChars="200"/>
    </w:pPr>
  </w:style>
  <w:style w:type="paragraph" w:styleId="6">
    <w:name w:val="annotation text"/>
    <w:basedOn w:val="1"/>
    <w:link w:val="30"/>
    <w:autoRedefine/>
    <w:unhideWhenUsed/>
    <w:qFormat/>
    <w:uiPriority w:val="99"/>
    <w:pPr>
      <w:jc w:val="left"/>
    </w:pPr>
  </w:style>
  <w:style w:type="paragraph" w:styleId="7">
    <w:name w:val="Body Text"/>
    <w:basedOn w:val="1"/>
    <w:next w:val="1"/>
    <w:link w:val="41"/>
    <w:autoRedefine/>
    <w:qFormat/>
    <w:uiPriority w:val="0"/>
    <w:pPr>
      <w:spacing w:after="120"/>
    </w:pPr>
    <w:rPr>
      <w:rFonts w:ascii="Times New Roman" w:hAnsi="Times New Roman" w:eastAsia="宋体" w:cs="Times New Roman"/>
      <w:szCs w:val="24"/>
    </w:rPr>
  </w:style>
  <w:style w:type="paragraph" w:styleId="8">
    <w:name w:val="Body Text Indent"/>
    <w:basedOn w:val="1"/>
    <w:link w:val="35"/>
    <w:autoRedefine/>
    <w:qFormat/>
    <w:uiPriority w:val="0"/>
    <w:pPr>
      <w:ind w:firstLine="630"/>
    </w:pPr>
    <w:rPr>
      <w:rFonts w:ascii="Times New Roman" w:hAnsi="Times New Roman" w:eastAsia="宋体" w:cs="Times New Roman"/>
      <w:sz w:val="32"/>
      <w:szCs w:val="20"/>
    </w:rPr>
  </w:style>
  <w:style w:type="paragraph" w:styleId="9">
    <w:name w:val="Plain Text"/>
    <w:basedOn w:val="1"/>
    <w:autoRedefine/>
    <w:qFormat/>
    <w:uiPriority w:val="0"/>
    <w:pPr>
      <w:widowControl/>
      <w:jc w:val="left"/>
    </w:pPr>
    <w:rPr>
      <w:rFonts w:cs="Times New Roman"/>
      <w:szCs w:val="24"/>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Normal (Web)"/>
    <w:basedOn w:val="1"/>
    <w:autoRedefine/>
    <w:qFormat/>
    <w:uiPriority w:val="0"/>
    <w:pPr>
      <w:spacing w:beforeAutospacing="1" w:afterAutospacing="1"/>
      <w:jc w:val="left"/>
    </w:pPr>
    <w:rPr>
      <w:rFonts w:cs="Times New Roman"/>
      <w:kern w:val="0"/>
      <w:sz w:val="24"/>
      <w:szCs w:val="24"/>
    </w:rPr>
  </w:style>
  <w:style w:type="paragraph" w:styleId="16">
    <w:name w:val="annotation subject"/>
    <w:basedOn w:val="6"/>
    <w:next w:val="6"/>
    <w:link w:val="40"/>
    <w:autoRedefine/>
    <w:semiHidden/>
    <w:unhideWhenUsed/>
    <w:qFormat/>
    <w:uiPriority w:val="99"/>
    <w:rPr>
      <w:b/>
      <w:bCs/>
    </w:rPr>
  </w:style>
  <w:style w:type="paragraph" w:styleId="17">
    <w:name w:val="Body Text First Indent"/>
    <w:basedOn w:val="7"/>
    <w:next w:val="1"/>
    <w:autoRedefine/>
    <w:qFormat/>
    <w:uiPriority w:val="0"/>
    <w:pPr>
      <w:ind w:firstLine="420" w:firstLineChars="100"/>
    </w:pPr>
    <w:rPr>
      <w:szCs w:val="20"/>
    </w:rPr>
  </w:style>
  <w:style w:type="table" w:styleId="19">
    <w:name w:val="Table Grid"/>
    <w:basedOn w:val="1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标题 5（有编号）（绿盟科技）"/>
    <w:basedOn w:val="1"/>
    <w:next w:val="23"/>
    <w:autoRedefine/>
    <w:qFormat/>
    <w:uiPriority w:val="0"/>
    <w:pPr>
      <w:keepNext/>
      <w:keepLines/>
      <w:numPr>
        <w:ilvl w:val="0"/>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BodyText"/>
    <w:basedOn w:val="1"/>
    <w:next w:val="1"/>
    <w:autoRedefine/>
    <w:qFormat/>
    <w:uiPriority w:val="0"/>
    <w:pPr>
      <w:spacing w:after="120"/>
      <w:textAlignment w:val="baseline"/>
    </w:p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正文首行缩进两字符"/>
    <w:basedOn w:val="1"/>
    <w:autoRedefine/>
    <w:qFormat/>
    <w:uiPriority w:val="0"/>
    <w:pPr>
      <w:spacing w:line="360" w:lineRule="auto"/>
      <w:ind w:firstLine="200" w:firstLineChars="200"/>
    </w:pPr>
    <w:rPr>
      <w:rFonts w:ascii="Times New Roman" w:hAnsi="Times New Roman" w:eastAsia="宋体" w:cs="Times New Roman"/>
      <w:szCs w:val="24"/>
    </w:rPr>
  </w:style>
  <w:style w:type="paragraph" w:styleId="28">
    <w:name w:val="List Paragraph"/>
    <w:basedOn w:val="1"/>
    <w:link w:val="31"/>
    <w:autoRedefine/>
    <w:qFormat/>
    <w:uiPriority w:val="99"/>
    <w:pPr>
      <w:ind w:firstLine="420" w:firstLineChars="200"/>
    </w:pPr>
    <w:rPr>
      <w:rFonts w:ascii="Times New Roman" w:hAnsi="Times New Roman" w:eastAsia="宋体" w:cs="Times New Roman"/>
      <w:szCs w:val="24"/>
    </w:rPr>
  </w:style>
  <w:style w:type="paragraph" w:customStyle="1" w:styleId="2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30">
    <w:name w:val="批注文字 Char"/>
    <w:basedOn w:val="20"/>
    <w:link w:val="6"/>
    <w:autoRedefine/>
    <w:qFormat/>
    <w:uiPriority w:val="99"/>
  </w:style>
  <w:style w:type="character" w:customStyle="1" w:styleId="31">
    <w:name w:val="列出段落 Char"/>
    <w:link w:val="28"/>
    <w:autoRedefine/>
    <w:qFormat/>
    <w:uiPriority w:val="1"/>
    <w:rPr>
      <w:rFonts w:ascii="Times New Roman" w:hAnsi="Times New Roman" w:eastAsia="宋体" w:cs="Times New Roman"/>
      <w:szCs w:val="24"/>
    </w:rPr>
  </w:style>
  <w:style w:type="character" w:customStyle="1" w:styleId="32">
    <w:name w:val="标题 1 Char"/>
    <w:basedOn w:val="20"/>
    <w:link w:val="3"/>
    <w:autoRedefine/>
    <w:qFormat/>
    <w:uiPriority w:val="0"/>
    <w:rPr>
      <w:rFonts w:ascii="Times New Roman" w:hAnsi="Times New Roman" w:eastAsia="宋体" w:cs="Times New Roman"/>
      <w:b/>
      <w:bCs/>
      <w:kern w:val="44"/>
      <w:sz w:val="36"/>
      <w:szCs w:val="44"/>
    </w:rPr>
  </w:style>
  <w:style w:type="character" w:customStyle="1" w:styleId="33">
    <w:name w:val="标题 2 Char"/>
    <w:basedOn w:val="20"/>
    <w:link w:val="4"/>
    <w:autoRedefine/>
    <w:qFormat/>
    <w:uiPriority w:val="0"/>
    <w:rPr>
      <w:rFonts w:ascii="Arial" w:hAnsi="Arial" w:eastAsia="黑体" w:cs="Times New Roman"/>
      <w:b/>
      <w:bCs/>
      <w:sz w:val="32"/>
      <w:szCs w:val="32"/>
    </w:rPr>
  </w:style>
  <w:style w:type="character" w:customStyle="1" w:styleId="34">
    <w:name w:val="标题 1 Char1"/>
    <w:autoRedefine/>
    <w:qFormat/>
    <w:uiPriority w:val="0"/>
    <w:rPr>
      <w:b/>
      <w:bCs/>
      <w:kern w:val="44"/>
      <w:sz w:val="44"/>
      <w:szCs w:val="44"/>
    </w:rPr>
  </w:style>
  <w:style w:type="character" w:customStyle="1" w:styleId="35">
    <w:name w:val="正文文本缩进 Char"/>
    <w:basedOn w:val="20"/>
    <w:link w:val="8"/>
    <w:autoRedefine/>
    <w:qFormat/>
    <w:uiPriority w:val="0"/>
    <w:rPr>
      <w:rFonts w:ascii="Times New Roman" w:hAnsi="Times New Roman" w:eastAsia="宋体" w:cs="Times New Roman"/>
      <w:sz w:val="32"/>
      <w:szCs w:val="20"/>
    </w:rPr>
  </w:style>
  <w:style w:type="paragraph" w:customStyle="1" w:styleId="36">
    <w:name w:val="正文 A"/>
    <w:autoRedefine/>
    <w:qFormat/>
    <w:uiPriority w:val="99"/>
    <w:pPr>
      <w:widowControl w:val="0"/>
      <w:spacing w:line="312" w:lineRule="atLeast"/>
      <w:jc w:val="both"/>
    </w:pPr>
    <w:rPr>
      <w:rFonts w:ascii="Arial Unicode MS" w:hAnsi="Arial Unicode MS" w:eastAsia="宋体" w:cs="Arial Unicode MS"/>
      <w:color w:val="000000"/>
      <w:kern w:val="2"/>
      <w:sz w:val="21"/>
      <w:szCs w:val="21"/>
      <w:lang w:val="en-US" w:eastAsia="zh-CN" w:bidi="ar-SA"/>
    </w:rPr>
  </w:style>
  <w:style w:type="character" w:customStyle="1" w:styleId="37">
    <w:name w:val="正文文本缩进 2 Char"/>
    <w:basedOn w:val="20"/>
    <w:link w:val="10"/>
    <w:autoRedefine/>
    <w:qFormat/>
    <w:uiPriority w:val="0"/>
    <w:rPr>
      <w:rFonts w:ascii="Times New Roman" w:hAnsi="Times New Roman" w:eastAsia="宋体" w:cs="Times New Roman"/>
      <w:szCs w:val="24"/>
    </w:rPr>
  </w:style>
  <w:style w:type="paragraph" w:customStyle="1" w:styleId="38">
    <w:name w:val="WPSOffice手动目录 1"/>
    <w:autoRedefine/>
    <w:qFormat/>
    <w:uiPriority w:val="0"/>
    <w:rPr>
      <w:rFonts w:asciiTheme="minorHAnsi" w:hAnsiTheme="minorHAnsi" w:eastAsiaTheme="minorEastAsia" w:cstheme="minorBidi"/>
      <w:lang w:val="en-US" w:eastAsia="zh-CN" w:bidi="ar-SA"/>
    </w:rPr>
  </w:style>
  <w:style w:type="character" w:customStyle="1" w:styleId="39">
    <w:name w:val="批注框文本 Char"/>
    <w:basedOn w:val="20"/>
    <w:link w:val="11"/>
    <w:autoRedefine/>
    <w:semiHidden/>
    <w:qFormat/>
    <w:uiPriority w:val="99"/>
    <w:rPr>
      <w:kern w:val="2"/>
      <w:sz w:val="18"/>
      <w:szCs w:val="18"/>
    </w:rPr>
  </w:style>
  <w:style w:type="character" w:customStyle="1" w:styleId="40">
    <w:name w:val="批注主题 Char"/>
    <w:basedOn w:val="30"/>
    <w:link w:val="16"/>
    <w:autoRedefine/>
    <w:semiHidden/>
    <w:qFormat/>
    <w:uiPriority w:val="99"/>
    <w:rPr>
      <w:b/>
      <w:bCs/>
      <w:kern w:val="2"/>
      <w:sz w:val="21"/>
      <w:szCs w:val="22"/>
    </w:rPr>
  </w:style>
  <w:style w:type="character" w:customStyle="1" w:styleId="41">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2">
    <w:name w:val="msolistparagraph"/>
    <w:basedOn w:val="1"/>
    <w:autoRedefine/>
    <w:qFormat/>
    <w:uiPriority w:val="99"/>
    <w:pPr>
      <w:ind w:firstLine="420" w:firstLineChars="200"/>
    </w:pPr>
    <w:rPr>
      <w:rFonts w:cs="Calibri"/>
    </w:rPr>
  </w:style>
  <w:style w:type="character" w:customStyle="1" w:styleId="43">
    <w:name w:val="font31"/>
    <w:basedOn w:val="20"/>
    <w:autoRedefine/>
    <w:qFormat/>
    <w:uiPriority w:val="0"/>
    <w:rPr>
      <w:rFonts w:hint="eastAsia" w:ascii="宋体" w:hAnsi="宋体" w:eastAsia="宋体" w:cs="宋体"/>
      <w:color w:val="000000"/>
      <w:sz w:val="20"/>
      <w:szCs w:val="20"/>
      <w:u w:val="none"/>
    </w:rPr>
  </w:style>
  <w:style w:type="character" w:customStyle="1" w:styleId="44">
    <w:name w:val="font01"/>
    <w:basedOn w:val="20"/>
    <w:autoRedefine/>
    <w:qFormat/>
    <w:uiPriority w:val="0"/>
    <w:rPr>
      <w:rFonts w:hint="eastAsia" w:ascii="宋体" w:hAnsi="宋体" w:eastAsia="宋体" w:cs="宋体"/>
      <w:b/>
      <w:bCs/>
      <w:color w:val="FF0000"/>
      <w:sz w:val="20"/>
      <w:szCs w:val="20"/>
      <w:u w:val="none"/>
    </w:rPr>
  </w:style>
  <w:style w:type="character" w:customStyle="1" w:styleId="45">
    <w:name w:val="font41"/>
    <w:basedOn w:val="20"/>
    <w:autoRedefine/>
    <w:qFormat/>
    <w:uiPriority w:val="0"/>
    <w:rPr>
      <w:rFonts w:hint="default" w:ascii="MingLiU" w:hAnsi="MingLiU" w:eastAsia="MingLiU" w:cs="MingLiU"/>
      <w:color w:val="FF0000"/>
      <w:sz w:val="20"/>
      <w:szCs w:val="20"/>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table" w:customStyle="1" w:styleId="47">
    <w:name w:val="Table Normal"/>
    <w:autoRedefine/>
    <w:unhideWhenUsed/>
    <w:qFormat/>
    <w:uiPriority w:val="0"/>
    <w:tblPr>
      <w:tblCellMar>
        <w:top w:w="0" w:type="dxa"/>
        <w:left w:w="0" w:type="dxa"/>
        <w:bottom w:w="0" w:type="dxa"/>
        <w:right w:w="0" w:type="dxa"/>
      </w:tblCellMar>
    </w:tblPr>
  </w:style>
  <w:style w:type="paragraph" w:customStyle="1" w:styleId="4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28</Pages>
  <Words>1202</Words>
  <Characters>1369</Characters>
  <Lines>73</Lines>
  <Paragraphs>20</Paragraphs>
  <TotalTime>22</TotalTime>
  <ScaleCrop>false</ScaleCrop>
  <LinksUpToDate>false</LinksUpToDate>
  <CharactersWithSpaces>1433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2022-04-21T08:45:00Z</dcterms:created>
  <dc:creator>Administrator</dc:creator>
  <cp:lastModifiedBy>张雯</cp:lastModifiedBy>
  <cp:lastPrinted>2024-08-20T03:13:00Z</cp:lastPrinted>
  <dcterms:modified xsi:type="dcterms:W3CDTF">2025-10-13T08:34:24Z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BD8C9A0FFEA440B38EA03A11D0E55B07_13</vt:lpwstr>
  </property>
  <property fmtid="{D5CDD505-2E9C-101B-9397-08002B2CF9AE}" pid="4" name="KSOTemplateDocerSaveRecord">
    <vt:lpwstr>eyJoZGlkIjoiODNiMzQyY2FhYzY4MTUzYTU3MGVhMmJiNWE3MmY2ODAiLCJ1c2VySWQiOiIxNTc4MjYzNzU5In0=</vt:lpwstr>
  </property>
</Properties>
</file>